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Pr>
      </w:pPr>
      <w:r w:rsidRPr="005B4FA1">
        <w:rPr>
          <w:rFonts w:ascii="Tahoma" w:eastAsia="Times New Roman" w:hAnsi="Tahoma" w:cs="B Badr" w:hint="cs"/>
          <w:b/>
          <w:bCs/>
          <w:color w:val="800000"/>
          <w:rtl/>
          <w:lang w:bidi="fa-IR"/>
        </w:rPr>
        <w:t>پرسش</w:t>
      </w:r>
      <w:r w:rsidRPr="005B4FA1">
        <w:rPr>
          <w:rFonts w:ascii="Cambria Math" w:eastAsia="Times New Roman" w:hAnsi="Cambria Math" w:cs="B Badr" w:hint="cs"/>
          <w:b/>
          <w:bCs/>
          <w:color w:val="800000"/>
          <w:rtl/>
          <w:lang w:bidi="fa-IR"/>
        </w:rPr>
        <w:t>  </w:t>
      </w:r>
      <w:r w:rsidRPr="005B4FA1">
        <w:rPr>
          <w:rFonts w:ascii="Tahoma" w:eastAsia="Times New Roman" w:hAnsi="Tahoma" w:cs="B Badr" w:hint="cs"/>
          <w:b/>
          <w:bCs/>
          <w:color w:val="800000"/>
          <w:rtl/>
          <w:lang w:bidi="fa-IR"/>
        </w:rPr>
        <w:t>ها و پاسخ</w:t>
      </w:r>
      <w:r w:rsidRPr="005B4FA1">
        <w:rPr>
          <w:rFonts w:ascii="Cambria Math" w:eastAsia="Times New Roman" w:hAnsi="Cambria Math" w:cs="B Badr" w:hint="cs"/>
          <w:b/>
          <w:bCs/>
          <w:color w:val="800000"/>
          <w:rtl/>
          <w:lang w:bidi="fa-IR"/>
        </w:rPr>
        <w:t> </w:t>
      </w:r>
      <w:r w:rsidRPr="005B4FA1">
        <w:rPr>
          <w:rFonts w:ascii="Tahoma" w:eastAsia="Times New Roman" w:hAnsi="Tahoma" w:cs="B Badr" w:hint="cs"/>
          <w:b/>
          <w:bCs/>
          <w:color w:val="800000"/>
          <w:rtl/>
          <w:lang w:bidi="fa-IR"/>
        </w:rPr>
        <w:t>ها - دفتر سى و چهارم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color w:val="800000"/>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800000"/>
          <w:sz w:val="26"/>
          <w:szCs w:val="28"/>
          <w:rtl/>
          <w:lang w:bidi="fa-IR"/>
        </w:rPr>
        <w:t>احكام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 xml:space="preserve">سرشناسه : حسينى، مجتبى، 1345 -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عنوان و نام پديدآور : احكام اعتكاف / مؤف مجتبى حسينى ؛ تنظيم و نظارت نهاد نمايندگى مقام معظم رهبرى در دانشگاه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 xml:space="preserve">ها، معاونت مطالعات راهبردى، اداره مشاوره و پاسخ.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مشخصات نشر : قم: نهاد نمايندگى مقام معظم رهبرى در دانشگاه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دفتر نشر معارف، 1388.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مشخصات ظاهرى : 64 ص. 14 × 21 س</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م.</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فروست : پرسش</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و پاسخ</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هاى دانشجويى؛ دفتر سى و چهارم (احكام؛ 11)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شابك : 000/8 ريال: 5-210-531-964-978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 xml:space="preserve">وضعيت فهرست نويسى : فيپا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موضوع : اعتكاف (فقه)</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شناسه افزوده : نهاد نمايندگى مقام معظم رهبرى در دانشگاه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معاونت مطالعات راهبردى. اداره مشاوره و پاسخ.</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شناسه افزوده : نهاد نمايندگى مقام معظم رهبرى در دانشگاه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دفتر نشر معارف.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رده بندى كنگره : 1388 3الف5ح/2/188</w:t>
      </w:r>
      <w:r w:rsidRPr="005B4FA1">
        <w:rPr>
          <w:rFonts w:ascii="Tahoma" w:eastAsia="Times New Roman" w:hAnsi="Tahoma" w:cs="B Badr"/>
          <w:sz w:val="20"/>
          <w:szCs w:val="20"/>
        </w:rPr>
        <w:t>BP</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رده بندى ديويى: 354/297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شماره كتابشناسى ملى : 1850009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و پاسخ</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دفتر سى و چهارم - احكام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تنظيم و نظارت: ···  نهاد نمايندگى مقام معظم رهبرى در دانشگاه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معاونت مطالعات راهبردى - اداره مشاوره و پاسخ</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مؤلف: ···  سيدمجتبى حسينى</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تايپ و صفحه آرايى: ···  طالب بخشايش</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انتشارات: ···  دفتر نشر معارف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نوبت چاپ: ···  دوم، بهار 89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تيراژ: ···  000/10 جلد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قيمت: ···  800 تومان</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شابك: ···  5-210-531-964-978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«كليه حقوق براى ناشر محفوظ است»</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مراكز پخش:</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قم: معاونت مطالعات راهبردى نهاد، تلفن 2904440</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lastRenderedPageBreak/>
        <w:t>قم: مؤسسه فرهنگى و اطلاع</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رسانى طلوع طاها، تلفن 7748345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قم: خيابان شهدا، كوچه 32، پلاك 3، تلفن و نمابر: 7744616</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فروشگاه 1 قم: خ شهدا، روبه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روى دفتر رهبرى، تلفن7735451 نمابر 7742757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فروشگاه 2 تهران: خ انقلاب، چهارراه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كالج، جنب بانك</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ملت، پ 715، تلفن 88911212 نمابر 88809386</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نشانى اينترنت:</w:t>
      </w:r>
      <w:r w:rsidRPr="005B4FA1">
        <w:rPr>
          <w:rFonts w:ascii="Tahoma" w:eastAsia="Times New Roman" w:hAnsi="Tahoma" w:cs="B Badr"/>
          <w:sz w:val="20"/>
          <w:szCs w:val="20"/>
          <w:rtl/>
        </w:rPr>
        <w:t xml:space="preserve"> </w:t>
      </w:r>
      <w:r w:rsidRPr="005B4FA1">
        <w:rPr>
          <w:rFonts w:ascii="Tahoma" w:eastAsia="Times New Roman" w:hAnsi="Tahoma" w:cs="B Badr"/>
          <w:sz w:val="20"/>
          <w:szCs w:val="20"/>
        </w:rPr>
        <w:t>www.nashremaaref.ir</w:t>
      </w:r>
      <w:r w:rsidRPr="005B4FA1">
        <w:rPr>
          <w:rFonts w:ascii="Tahoma" w:eastAsia="Times New Roman" w:hAnsi="Tahoma" w:cs="B Badr"/>
          <w:sz w:val="20"/>
          <w:szCs w:val="20"/>
          <w:rtl/>
        </w:rPr>
        <w:t xml:space="preserve"> </w:t>
      </w:r>
      <w:r w:rsidRPr="005B4FA1">
        <w:rPr>
          <w:rFonts w:ascii="Tahoma" w:eastAsia="Times New Roman" w:hAnsi="Tahoma" w:cs="B Badr" w:hint="cs"/>
          <w:sz w:val="20"/>
          <w:szCs w:val="20"/>
          <w:rtl/>
          <w:lang w:bidi="fa-IR"/>
        </w:rPr>
        <w:t xml:space="preserve">- پست الكترونيك: </w:t>
      </w:r>
      <w:r w:rsidRPr="005B4FA1">
        <w:rPr>
          <w:rFonts w:ascii="Tahoma" w:eastAsia="Times New Roman" w:hAnsi="Tahoma" w:cs="B Badr"/>
          <w:sz w:val="20"/>
          <w:szCs w:val="20"/>
        </w:rPr>
        <w:t>info@porseman.org</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 </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bookmarkStart w:id="0" w:name="_GoBack"/>
      <w:r w:rsidRPr="005B4FA1">
        <w:rPr>
          <w:rFonts w:ascii="Tahoma" w:eastAsia="Times New Roman" w:hAnsi="Tahoma" w:cs="B Badr" w:hint="cs"/>
          <w:b/>
          <w:bCs/>
          <w:sz w:val="20"/>
          <w:szCs w:val="20"/>
          <w:rtl/>
          <w:lang w:bidi="fa-IR"/>
        </w:rPr>
        <w:t>فهرست مطالب</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مقدمه ···  13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سخنان امام خمينى(ره)···  17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سخنان آيه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 xml:space="preserve"> جوادى آملى···  18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و جايگاه آن</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مفهوم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 . اعتكاف به چه معنا است؟··· 23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 . آيا در قرآن آيه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درباره اهميت اعتكاف وجود دارد؟··· 23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پيشينه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 . اعتكاف از چه زمانى آغاز شد؟··· 25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 . چرا در عصر ما اعتكاف در ماه رجب انجام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گيرد در حالى كه روايات فضيلت زمان اعتكاف را منحصر در ماه رمضان برشمرده است؟··· 26</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 . آداب و مستحبات اعتكاف را بيان كنيد؟··· 27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فلسفه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 . فلسفه اعتكاف چيست؟··· 28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اقسام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7 . اعتكاف واجب است يا مستحب؟··· 28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زمان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8 . آيا در هر زمان كه بخواهيم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توانيم، معتكف شويم يا زمان خاص دارد؟··· 29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شرايط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9 . شرايط صحت اعتكاف چيست؟··· 31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شروع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10 . در روز اول اعتكاف، سحرى را در خانه خوردم و پس از نماز صبح به مسجد رفتم، اعتكاف من درست بوده يا نه؟··· 31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مقدار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11 . تعداد روزهاى اعتكاف معين است، يا به دلخواه خود شخص است؟··· 32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روزه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12 . به علت بيمارى از روزه گرفتن معذورم، آيا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توانم بدون روزه اعتكاف كنم؟··· 32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روزه قضا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lastRenderedPageBreak/>
        <w:t>پرسش 13 . آيا روزه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هاى قضا كه بر عهده داريم،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توانيم در اعتكاف بگيريم؟··· 32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14 . آيا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 روزه روز سوم اعتكاف را كه واجب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از روزه قضا حساب كرد، يا خودش واجب جداگانه است؟··· 33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15 . اگر كسى روزه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هاى قضاى خود را بگيرد و شب</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را در مسجد به سر ببرد؛ ولى روزها در مسجد نباشد، معتكف محسوب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33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بلوغ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16 . آيا نوجوانى كه به حد بلوغ نرسيده است،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اعتكاف كند؟··· 33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جايزه و تشويق معتكف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17 . اگر كسى به انگيزه امور مادى در اعتكاف شركت كند، حكم آن چگونه است؟··· 33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نيابت استيجارى</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18 . آيا نيابت اعتكاف از طرف مرده جايز است؟ آيا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در مقابل آن مزد بگيرد؟··· 34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نيابت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19 . آيا نيابت اعتكاف از طرف عده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از اموات صحيح است؟··· 34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20 . آيا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 به نيابت يك نفر زنده معتكف شد؟··· 34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در سفر</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21 . براى زيارت چند روزى به مشهد رفتم. اتفاقاً با ايام اعتكاف مصادف شد،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توانم معتكف شوم؟··· 35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22 . در ايام اعتكاف ماه رجب در مسافرت هستم، چگونه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توانم از اعتكاف بهره ببرم؟··· 35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نذر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23 . نذر اعتكاف چگونه انجام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گيرد؟··· 36</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24 . كسى كه نذر كرده ايام البيض (روزهاى سيزدهم تا پانزدهم) ماه رجب را اعتكاف كند، چنانچه در اين ايام بيمار شود، تكليف چيست؟··· 37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25 . اگر اعتكاف را نذر كند و در ايام اعتكاف مريض شود، يا ضرورتى پيش آيد،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اعتكاف را به هم بزند؟ آيا در اين صورت كفاره و قضا دارد؟··· 37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قطع نذر اعتكافى</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26 . كسى كه نذر كرده اعتكاف به جا آورد، آن گاه با گذشت يك روز از اعتكافش آن را به جهتى باطل كند، آيا قضاى آن واجب است؟··· 37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27 . آيا جايز است اعتكاف نذرى را در روز دوم به هم زد؟··· 38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اجازه پدر</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28 . آيا اعتكاف فرزند بدون اجازه پدر صحيح است يا خير؟··· 38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اجازه شوهر</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29 . آيا زن براى رفتن به اعتكاف، نياز به اجازه شوهر دارد و اگر بدون اجازه برود، آيا اعتكافش صحيح است؟··· 39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كارمند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30 . آيا اعتكاف كارمندان ادارى و كارگران در ساعات كار جايز است؟··· 40</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مسجد جامع</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31 . منظور از مسجد جامع چيست؟··· 41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حياط مسجد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32 . آيا در حياط مسجد هم اعتكاف صحيح است يا خير؟ همچنين در زيرزمين و پشت بام مسجد؟··· 41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سرداب و بام مسجد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33 . اعتكاف در مكان</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هايى كه شك داريم جزء مسجد است (مانند بام، سرداب و مقدارى كه به مسجد افزوده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چگونه است؟··· 41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lastRenderedPageBreak/>
        <w:t>تعدد مسجد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34 . اگر در شهرى كه مساجد جامع متعدد باشد، تكليف چيست؟··· 42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35 . آيا جايز است اعتكاف را در دو مسجد و يا دو شبستان انجام داد؟··· 42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مكان خاص</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36 . اگر محل خاصى از مسجد را براى اعتكاف خود معين كند، آيا لازم است خود را به آن مقيد كند؟··· 42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مسجد دانشگاه</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37 . با توجّه به اينكه اعتكاف بايد در مسجد جامع شهر باشد، آيا جايز است در مسجد دانشگاه اعتكاف را به قصد رجا انجام داد؟··· 43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38 . مراجع تقليد، اعتكاف را تنها در مساجد جامع جايز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دانند؛ آيا دانشجويان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توانند نذر كنند كه سه روز در مسجد دانشگاه اجتماع كنند؟··· 43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بانوان</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39 . آيا بانوان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توانند در خانه خود اعتكاف كنند؟··· 44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40 . آيا زن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جهت شركت در اعتكاف، براى جلوگيرى از عادت ماهيانه قرص مصرف كند؟··· 44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بيماران</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41 . آيا كسى كه روزه برايش ضرر دارد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جهت درك ثواب اعتكاف معتكف شود؟··· 44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تزريق آمپول</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42 . كسى كه هر روز نياز به تزريق آمپول دارد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اعتكاف كند و به جهت آن از مسجد خارج شود؟··· 45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محرمات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43 . محرمات اعتكاف كدام است؟··· 47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تلفن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44 . گفت</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وگو با تلفن همراه در مسجد، در موارد غيرضرورى و مكرر، چه صورت دارد؟··· 47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درس و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45 . آيا جايز است در اعتكاف، دروس خود را مباحثه كرد؟··· 48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معامله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46 . خريد و فروش در صورت ضرورت و عدم ضرورت، براى معتكف چه حكمى دارد؟··· 49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قطع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47 . آيا قطع اعتكاف گناه دارد؟··· 49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48 . در صورتى كه شخص در روز سوم اعتكاف مستحبى، مريض شود و يا اضطرارى پيش آيد،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اعتكاف را به هم زند؟ آيا در اين صورت كفاره دارد؟··· 49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راه قطع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49 . آيا راهى هست كه هر زمان معتكف خواست از اعتكاف خارج شود؟··· 50</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شرط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50 . آيا معتكف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به هنگام نيت اعتكاف، شرط كند كه هر زمان خواست (هر چند بدون عذر)، از اعتكاف خارج شود؟··· 50</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خروج از مسجد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51 . در چه مواردى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 از مسجد خارج شد؟··· 51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52 . اگر كسى به جهت ضرورت از مسجد خارج شود و خروج او طولانى گردد، اعتكافش چه حكمى دارد؟··· 51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lastRenderedPageBreak/>
        <w:t>توقف در سايه</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53 . گفته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اگر معتكف به خاطر عذر و ضرورت از مسجد خارج شود حق ندارد از كنار سايه حركت كند، آيا اين سخن صحيح است؟··· 52</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جهل به احكام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54 . اگر كسى از روى فراموشى از اعتكاف خارج شود، چه حكمى دارد؟··· 53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55 . اگر كسى به جهت ندانستن مسئله از اعتكاف خارج شود، اعتكافش باطل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53</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وضو و غسل</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56 . خارج شدن معتكف از مسجد براى گرفتن وضو و غسل مستحبى چه حكمى دارد؟··· 54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سالن غذاخورى مسجد</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57 . آيا صرف غذا در سالن غذاخورى مسجد، براى معتكفان جايز است؟··· 54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پرداخت بدهى</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58 . آيا معتكف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تواند جهت پرداخت بدهى خود، از مسجد خارج شود؟··· 54</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و كلاس درس</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59 . آيا در ايام اعتكاف، رفتن به كلاس و شركت در درس</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جايز است؟··· 55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و نماز جمعه</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60 . براى رفتن به نماز جمعه،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توان از محل اعتكاف خارج شد؟··· 55</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غصب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61 . اگر شخصى در اعتكاف جاى كسى را بگيرد، آيا اعتكافش باطل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56</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افطارى معتكف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62 . استفاده از افطارى و سحرى معتكفان، براى ديگران چه حكمى دارد؟··· 56</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اعتكاف و غسل</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63 . اگر محتلم شويم، غسل را در داخل مسجد انجام دهيم؟··· 57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64 . بعد از نماز صبح محتلم شدم، امّا غسل را تا ظهر به تأخير انداختم؛ آيا اعتكاف اشكال پيدا كرده است؟··· 57</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حيض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65 . اگر زن در حال اعتكاف عادت ماهانه شود، تكليف چيست؟··· 58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مبطلات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66 . انجام دادن چه كارهايى، اعتكاف را باطل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كند؟··· 58</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قى در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67 . اگر معتكف در روز به جهت حالت تهوع، قى كند، حكم اعتكافش چيست؟··· 59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كفاره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68 . در چه مواردى بطلان اعتكاف موجب كفاره هم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59</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69 . كفاره اعتكاف چقدر است؟··· 60</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قضاى اعتكاف</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پرسش 70 . چنانچه اعتكاف مستحبى را به جهتى به هم بزند، آيا قضاى آن واجب مى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شود؟··· 60</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كليدواژه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ها···  61</w:t>
      </w:r>
    </w:p>
    <w:p w:rsidR="00C34D7E" w:rsidRPr="005B4FA1" w:rsidRDefault="00C34D7E" w:rsidP="00C34D7E">
      <w:pPr>
        <w:autoSpaceDE w:val="0"/>
        <w:autoSpaceDN w:val="0"/>
        <w:bidi/>
        <w:spacing w:after="0" w:line="285" w:lineRule="atLeast"/>
        <w:ind w:left="150"/>
        <w:rPr>
          <w:rFonts w:ascii="Times New Roman" w:eastAsia="Times New Roman" w:hAnsi="Times New Roman" w:cs="B Badr"/>
          <w:sz w:val="28"/>
          <w:szCs w:val="32"/>
          <w:rtl/>
        </w:rPr>
      </w:pPr>
      <w:r w:rsidRPr="005B4FA1">
        <w:rPr>
          <w:rFonts w:ascii="Tahoma" w:eastAsia="Times New Roman" w:hAnsi="Tahoma" w:cs="B Badr" w:hint="cs"/>
          <w:sz w:val="20"/>
          <w:szCs w:val="20"/>
          <w:rtl/>
          <w:lang w:bidi="fa-IR"/>
        </w:rPr>
        <w:t>كتابنامه···  63</w:t>
      </w:r>
    </w:p>
    <w:bookmarkEnd w:id="0"/>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rtl/>
          <w:lang w:bidi="fa-IR"/>
        </w:rPr>
        <w:t>مقدمه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گرى» از آغاز آفرينش انسان، رخ</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نمايى كرده ؛ بر بال سبز خود، فرشتگان را نشانده ؛ بر برگ زرد خود شيطان را افشانده و در اين ميان، مقام آدميت را نشان داده است. آفتاب كوفه چه زيبا فرموده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«مَن اَحسَنَ السؤال عَلِمَ» و «من عَلِمَ اَحسَنَ السؤال».</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 سؤال از علم خيزد هم جواب</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همچنان كه خار و گُل از خاك و آب</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آرى! هر كه سؤال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هايش آسمانى است، دانش و بينش پاسخش خواهد بود. پويايى و پايايى «جامعه» و «فرهنگ»، در گرو 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حقيقت طلبانه و پاسخ</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خِردورزانه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از افتخارات ايران اسلامى، آن است كه از سويى، سرشار از جوانانى پاك  دل، كمال  خواه و 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گر است و از ديگر سوى، از مكتبى غنى برخوردار است كه معارف بلند آن، گوارا نوش دل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عطشناك 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گر و دانش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جو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اداره مشاوره و پاسخ معاونت مطالعات راهبردى نهاد، محفل انسى فراهم  آورده است، تا «ابر رحمت» 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شايان ذكر است در راستاى ترويج فرهنگ دينى، اداره مشاوره و پاسخ نهاد نمايندگى مقام معظم رهبرى در دانشگاه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با همكارى گروه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علمى، بيش از 70  هزار پرسش دانشجويى را در موضوعات مختلف انديشه دينى، مشاوره، احكام و... پاسخ داده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اين اداره داراى هشت گروه علمى و تخصصى، به شرح زير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گروه قرآن و حديث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گروه احكام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 گروه فلسفه، كلام و دين پژوهى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گروه اخلاق و عرفان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5. گروه تربيتى و روان شناسى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6. گروه انديشه سياسى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7. گروه فرهنگى و اجتماعى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8. گروه تاريخ و سيره.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آنچه پيش رو داريد، بخشى از 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احكامِ اعتكاف داراى فراوانى در ميان قشر  جوان و دانشگاهيان است كه از سوى محقق ارجمند حجه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الاسلام سيدمجتبى حسينى(زيدعزّه ) پاسخ داده شده است. ويژگى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اين مجموعه و شيوه تنظيم آن در چند نكته ذيل بيان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الف. پاسخ پرسش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همراه با مآخذ و مستندات آن آورده شده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ب. پاسخ</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هم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مضمون، با عبارت يكسان و روان تحرير شده است ؛ از اين رو بيشتر پاسخ</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اقتباسى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ج. جهت اتقان و اطمينان بيشتر علاوه بر مستندسازى پاسخ</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از دفاتر مراجع بزرگوار نيز استفتا شده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د. جهت دستيابى آسان به پاسخ</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در انتهاى كتاب فهرست كليدواژه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براساس موضوع تنظيم شده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ه . در تنظيم كتاب، نظر حضرت امام خمينى قدس</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سره به عنوان اولين فتوا آمده و فتاواى ديگر مراجع بزرگوار - كه نامشان به ترتيب حروف الفبايى در ذيل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آيد - پس از آن ذكر گرديده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محمدتقى بهجت (قدس سرّه الشريف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ميرزا جواد تبريزى (قدس سرّه الشريف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سيد على حسينى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(دام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ظله العالى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سيد على حسينى سيستانى (دام ظله العالى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5.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لطف</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صافى گلپايگانى (دام ظله العالى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6.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محمد فاضل لنكرانى (قدس سرّه الشريف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7.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حسين نورى همدانى (دام ظله العالى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8.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ناصر مكارم شيرازى (دام ظله العالى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9. حضرت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حاج شيخ حسين وحيد خراسانى (دام ظله العالى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گفتنى است كه در متن كتاب تنها به ذكر اسامى مراجع بزرگوار به اختصار اكتفا شده است، لذا از ساحت آن بزرگواران پوزش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طلبيم و از درگاه خداوند متعال براى ايشان، دوام عزت و سلامتى مسألت داريم.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برآنيم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هايى از اين دست خواهد بود.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در پايان از تلاش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مخلصانه مؤلف محترم و مجموعه همكاران اداره مشاوره و پاسخ، به خصوص حجج اسلام سيد محمد تقى علوى و صالح قنادى(زيدعزّهما) كه در بازخوانى و آماده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سازى اين اثر تلاش كرده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اند، تشكر و قدردانى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و دوام توفيقات اين عزيزان را در جهت خدمت بيشتر به مكتب اهل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بيت (علیهم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السلام)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و ارتقاى فرهنگ دينى جامعه - به ويژه دانشگاهيان - از خداوند متعال مسألت داريم.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rtl/>
          <w:lang w:bidi="fa-IR"/>
        </w:rPr>
        <w:t>امام خمينى(ره)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تا قوا و نشاط جوانى باقى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اى عزيز، اولاً مگذار مفاسد اخلاقى يا عملى در مملكت ظاهر و باطنت وارد شود، كه اين خيلى سهل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تر از آن كه بعد از ورود بخواهى اخراج آنها كنى. همانطور كه دشمن را اگر نگذارى وارد سر حد مملكت گردد، يا وارد قلعه شود، آسان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تر است تا در صدد رفع و اخراج برآيى. و اگر وارد شد، هر چه ديرتر در صدد دفع برآيى، زحمتت زياد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و قوه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داخلى، رو به نقصان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گذارد.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شيخ جليل ما و عارف بزرگوار، آقاى شاه آبادى - روحى فداه - فرمودند: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«تا قواى جوانى و نشاط آن باقى است، بهتر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قيام كرد در مقابل مفاسد اخلاقى، خوب</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وظايف انسانيه را انجام داد. مگذاريد اين قوا از دست برود و روزگار پيرى پيش آيد كه موفق شدن در آن حال، مشكل است و بر فرض موفق شدن، زحمت اصلاح خيلى زياد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rtl/>
          <w:lang w:bidi="fa-IR"/>
        </w:rPr>
        <w:t>آية اللّه</w:t>
      </w:r>
      <w:r w:rsidRPr="005B4FA1">
        <w:rPr>
          <w:rFonts w:ascii="Cambria Math" w:eastAsia="Times New Roman" w:hAnsi="Cambria Math" w:cs="B Badr" w:hint="cs"/>
          <w:b/>
          <w:bCs/>
          <w:rtl/>
          <w:lang w:bidi="fa-IR"/>
        </w:rPr>
        <w:t> </w:t>
      </w:r>
      <w:r w:rsidRPr="005B4FA1">
        <w:rPr>
          <w:rFonts w:ascii="Tahoma" w:eastAsia="Times New Roman" w:hAnsi="Tahoma" w:cs="B Badr" w:hint="cs"/>
          <w:b/>
          <w:bCs/>
          <w:rtl/>
          <w:lang w:bidi="fa-IR"/>
        </w:rPr>
        <w:t xml:space="preserve"> جوادى آملى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اعتكاف: «خلوت و پرهيز از كثرت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اعوذ بالله من الشيطان الرجيم، بسم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الرحمن الرحيم. مهمترين راه براى عبادت همان خلوت و پرهيز از كثرت است. هر  چه انسان از كثرت فاصله داشته باشد در عبادت كامياب</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تر است و اعتكاف هم از همين جهت محترم و معتبر است. مردان الهى دو گروهند، اوحدى از آنها در عين حال كه در كثرتند، كثير را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بينند و آن واحد «خالق كثير» را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نگرند و كثير را جز آيات او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دانند و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بينند، ولى براى اوساط از مردان الهى و عبادى، بايد زمان و زمينى فراهم بشود كه اين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ها از كثرت محفوظ بمانند. شب و مخصوصاً سَحَر، كه بسيارى از مردم خوابند و كثرتى مزاحم كسى نيست. براى رازگويى با ذات اقدس الهى بسيار مناسب است، لذا فرمود: </w:t>
      </w:r>
      <w:r w:rsidRPr="005B4FA1">
        <w:rPr>
          <w:rFonts w:ascii="Tahoma" w:eastAsia="Times New Roman" w:hAnsi="Tahoma" w:cs="B Badr" w:hint="cs"/>
          <w:b/>
          <w:bCs/>
          <w:color w:val="008000"/>
          <w:rtl/>
          <w:lang w:bidi="fa-IR"/>
        </w:rPr>
        <w:t>«انَّ ناشئةَ اللَّيْلِ هِىَ اَشَدّ وَطْئاً وَ اَقْومُ قيلاً»</w:t>
      </w:r>
      <w:r w:rsidRPr="005B4FA1">
        <w:rPr>
          <w:rFonts w:ascii="Tahoma" w:eastAsia="Times New Roman" w:hAnsi="Tahoma" w:cs="B Badr" w:hint="cs"/>
          <w:rtl/>
          <w:lang w:bidi="fa-IR"/>
        </w:rPr>
        <w:t>؛ «سحرخيزى نشئه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خاص خودش را دارد و براى پرهيز از كثرت (بسيار مناسب)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جريان اعتكاف هم براى همين منظور پيش بينى و طراحى شده و اصلش مربوط به اعتكاف رسول گرامى (صلی</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وآله)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در ماه مبارك  رمضان است. ماه مبارك رمضان مخصوصاً دهه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سوم جاى اعتكاف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xml:space="preserve">در اعتكاف شرايطى بازگو شده است كه مهم ترينش روزه گرفتن است. همانطورى كه نماز بدون طهارت نيست </w:t>
      </w:r>
      <w:r w:rsidRPr="005B4FA1">
        <w:rPr>
          <w:rFonts w:ascii="Tahoma" w:eastAsia="Times New Roman" w:hAnsi="Tahoma" w:cs="B Badr" w:hint="cs"/>
          <w:b/>
          <w:bCs/>
          <w:color w:val="008000"/>
          <w:rtl/>
          <w:lang w:bidi="fa-IR"/>
        </w:rPr>
        <w:t>«لا صَلاةَ اِلاّ بِطَهُورٍ»</w:t>
      </w:r>
      <w:r w:rsidRPr="005B4FA1">
        <w:rPr>
          <w:rFonts w:ascii="Tahoma" w:eastAsia="Times New Roman" w:hAnsi="Tahoma" w:cs="B Badr" w:hint="cs"/>
          <w:rtl/>
          <w:lang w:bidi="fa-IR"/>
        </w:rPr>
        <w:t xml:space="preserve"> اعتكاف هم بدون روزه صحيح نيست، </w:t>
      </w:r>
      <w:r w:rsidRPr="005B4FA1">
        <w:rPr>
          <w:rFonts w:ascii="Tahoma" w:eastAsia="Times New Roman" w:hAnsi="Tahoma" w:cs="B Badr" w:hint="cs"/>
          <w:b/>
          <w:bCs/>
          <w:color w:val="008000"/>
          <w:rtl/>
          <w:lang w:bidi="fa-IR"/>
        </w:rPr>
        <w:t>«لا اِعْتِكافَ اِلاّ بِصَوْمٍ»</w:t>
      </w:r>
      <w:r w:rsidRPr="005B4FA1">
        <w:rPr>
          <w:rFonts w:ascii="Tahoma" w:eastAsia="Times New Roman" w:hAnsi="Tahoma" w:cs="B Badr" w:hint="cs"/>
          <w:rtl/>
          <w:lang w:bidi="fa-IR"/>
        </w:rPr>
        <w:t>. بدون وضو نماز صحيح نيست و بدون روزه اعتكاف صحيح نيست. همان طورى كه طهارت مقدمه است براى نماز و نماز عمود دين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روزه نيز زمينه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فلاح و تقوا است و با همه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جلال و شكوهى كه دارد شرط اعتكاف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مطلب ديگر آن است كه اعتكاف از يك جهت شبيه حال احرام حج است. اگر چه روزه دار از بعضى از امور در روز ممنوع است، اما در شب همان امور براى او حلال و رواست. لكن در حال اعتكاف همان كارهايى كه در روز براى روزه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دار ممنوع بود برخى از آن كارها،در شب هم براى معتكف ممنوع است. نظير حال احرام كه شب و روز ندارد، اگر روز براى محرم، صيد حيوانات صحرايى ممنوع است در شب هم ممنوع است و كارهاى ديگر. «لا رفث و لا فسوق و لا جدال فى الحج» ليل و نهار ندارد و شب و روزش يكسان است. بنابر اين در مدت اين سه روز كه شخص، مهمان خداست و نام معتكف در خانه او - آن هم در مسجد جامع يا در مسجدى كه نماز جمعه خوانده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يا مسجدى كه جمعيت قابل توجهى در آن عبادت اقامه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كنند كه جامع بر او صادق  باشد - در چنين مكانى وقتى كسى به اعتكاف نشست، ليل و نهار براى او يكسان است از آن لذت</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شهوانى و مانند آن در تمام اين حالت بايد پرهيز كند.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كسانى كه رغبت به اعتكاف دارند «شَوْقَاً اِلَى الثَّوابِ» است نه «خَوْفاً مِنَ الْعِقابِ». كارهاى واجب را گاهى ممكن است انسان براى ترس از دوزخ انجام دهد، ولى كارهاى اعتكاف و مانند آن كه ثواب دارد و مستحب است اينها براى ترس از عذاب نيست، زيرا واجب نيست كه اگر ترك كردند، دوزخ بروند، مستحب است و چون مستحب است براى شوق به ثواب است، لكن معتكفان دو قسم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اند اوساطى از اهل اعتكاف، در جات فضيلت و ثواب و بهشت را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طلبند و اوحده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از اهل اعتكاف محبوب و دل آرام را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طلبند، همان است كه گفته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شود </w:t>
      </w:r>
      <w:r w:rsidRPr="005B4FA1">
        <w:rPr>
          <w:rFonts w:ascii="Tahoma" w:eastAsia="Times New Roman" w:hAnsi="Tahoma" w:cs="B Badr" w:hint="cs"/>
          <w:b/>
          <w:bCs/>
          <w:color w:val="008000"/>
          <w:rtl/>
          <w:lang w:bidi="fa-IR"/>
        </w:rPr>
        <w:t>«أَلا بِذِكْرِ اللّه</w:t>
      </w:r>
      <w:r w:rsidRPr="005B4FA1">
        <w:rPr>
          <w:rFonts w:ascii="Cambria Math" w:eastAsia="Times New Roman" w:hAnsi="Cambria Math" w:cs="B Badr" w:hint="cs"/>
          <w:b/>
          <w:bCs/>
          <w:color w:val="008000"/>
          <w:rtl/>
          <w:lang w:bidi="fa-IR"/>
        </w:rPr>
        <w:t> </w:t>
      </w:r>
      <w:r w:rsidRPr="005B4FA1">
        <w:rPr>
          <w:rFonts w:ascii="Tahoma" w:eastAsia="Times New Roman" w:hAnsi="Tahoma" w:cs="B Badr" w:hint="cs"/>
          <w:b/>
          <w:bCs/>
          <w:color w:val="008000"/>
          <w:rtl/>
          <w:lang w:bidi="fa-IR"/>
        </w:rPr>
        <w:t xml:space="preserve"> تَطْمَئِنُّ الْقُلُوبِ»</w:t>
      </w:r>
      <w:r w:rsidRPr="005B4FA1">
        <w:rPr>
          <w:rFonts w:ascii="Tahoma" w:eastAsia="Times New Roman" w:hAnsi="Tahoma" w:cs="B Badr" w:hint="cs"/>
          <w:rtl/>
          <w:lang w:bidi="fa-IR"/>
        </w:rPr>
        <w:t xml:space="preserve"> اين قراردادى و از سنخ مفاهمه 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آنچه كه آرايش دل ماست برابر سوره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ى حجرات. ايمان به خداست، كه </w:t>
      </w:r>
      <w:r w:rsidRPr="005B4FA1">
        <w:rPr>
          <w:rFonts w:ascii="Tahoma" w:eastAsia="Times New Roman" w:hAnsi="Tahoma" w:cs="B Badr" w:hint="cs"/>
          <w:b/>
          <w:bCs/>
          <w:color w:val="008000"/>
          <w:rtl/>
          <w:lang w:bidi="fa-IR"/>
        </w:rPr>
        <w:t>«حَبِّبْ اِلَيْكُمُ الاْيمانَ وَ زَيِّنْهُ فى قُلُوبِكُمْ»</w:t>
      </w:r>
      <w:r w:rsidRPr="005B4FA1">
        <w:rPr>
          <w:rFonts w:ascii="Tahoma" w:eastAsia="Times New Roman" w:hAnsi="Tahoma" w:cs="B Badr" w:hint="cs"/>
          <w:rtl/>
          <w:lang w:bidi="fa-IR"/>
        </w:rPr>
        <w:t xml:space="preserve"> آرايش دل و زينت و زيور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اعتكاف براى آن است كه اولاً دل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بى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زيور آرايش پيدا كند، و ثانياً دل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ناآرام، آرام بشود. فضاى دانشگاه چنين فضايى است. دانشجويان عزيز و همچنين طلاب حوزوى كه در دوران جوانى توفيق تشرّف اعتكاف را داشته و دارند، عنايت دارند كه به دنبال دل آرا و دل آرامند و هيچ كسى در درون آنها نيست كه از  آرايش قلب آن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با خبر يا از آرامش دل آنها مستحضر باشد. تنها خود آنها در صورتى كه سرى به دل بزنند و مراقب و مواظف آرايش و آرامش دل باشند، يك چنين حالى در اعتكاف به دست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آورند زيرا اولاً انسان در اين سه روز از بسيارى امور فاصله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گيرد، ثانياً به درون خود سرى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زند و ثالثاً درون آفرين را در درون خود مشاهده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و رابعاً با او سخن گفته و مناجات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مخصوصاً با دعاهاى پر فيض ماه رجب، آن گاه است كه احساس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كند اگر نقصى دارد اين نقص را، «او» به كمال تبديل </w:t>
      </w:r>
      <w:r w:rsidRPr="005B4FA1">
        <w:rPr>
          <w:rFonts w:ascii="Tahoma" w:eastAsia="Times New Roman" w:hAnsi="Tahoma" w:cs="B Badr" w:hint="cs"/>
          <w:rtl/>
          <w:lang w:bidi="fa-IR"/>
        </w:rPr>
        <w:lastRenderedPageBreak/>
        <w:t>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اگر عيبى دارد اين عيب را، «او» به صحت تبديل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چون وقتى خدا را مشاهده كرد آثار الهى را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بيند. يك معتكف وقتى خلوت كرده و از كثرت به وحدت و از بيرون به درون و از غير به يار آمده است، از مخلوق به خالق رسيده است و از ناآرامى و اضطراب به آرامش بار يافته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انسان در حال اعتكاف وقتى خلوت كرد و او را عبادت كرد و با او مذاكره و زمزمه كرد،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يابد كه آنچه در جهان خلقت است همه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اش حجاب است، يا حجاب درون و يا حجاب بيرون و اين حجاب</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آيت و علامت و نشانه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اند. هم حجاب</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ظلمانى را و هم حجاب</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نورانى را بايد برطرف كرد. اين همان تقرب الى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است. وقتى كه يك معتكف به خود آمد و جهان را با اين منظر ديد و عينك قرآن را بر چشم گذاشت، و از منظر قرآن به عالم و آدم نگاه كرد،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بيند همه اين ميناگرى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كار اوست.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ما سعى و كوشش و هدف والاى مان در اعتكاف اين باشد كه به دل آرام و دل آرايمان برسيم، آنگاه بسيارى از مسائل براى ما حل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اولاً لذت ما فوق لذت</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ديگران خواهد بود، ثانياً هرگز از آلودگى لذت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بريم، ثالثاً ديگر كسى به ما نخواهد گفت رانت خوارى نكن، ربا خوارى نكن، دروغ نگو، غيبت نكن، چون بوى بد اين عَفِن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را استشمام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كنيم، اين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فايده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اعتكاف است. البته ثواب هم در آن محفوظ است بهشت هم در آن محفوظ است، اما آن هدف برين و والا كه به همت انسان اوحدى وابسته است از اين قبيل است. اميدواريم ذات اقدس الهى، توفيق اعتكاف را به همگان، مخصوصاً طلاب جوان و دانشجويان عزيز مرحمت بفرمايد و هدف والاى معتكفان كه شهود آن محبوب دل آرا و دل آرام است، بهره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ى همه معتكفان بشود</w:t>
      </w:r>
      <w:bookmarkStart w:id="1" w:name="_ftnref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w:t>
      </w:r>
      <w:r w:rsidRPr="005B4FA1">
        <w:rPr>
          <w:rFonts w:ascii="Tahoma" w:eastAsia="Times New Roman" w:hAnsi="Tahoma" w:cs="B Badr"/>
          <w:rtl/>
        </w:rPr>
        <w:fldChar w:fldCharType="end"/>
      </w:r>
      <w:bookmarkEnd w:id="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sz w:val="24"/>
          <w:szCs w:val="24"/>
          <w:rtl/>
          <w:lang w:bidi="fa-IR"/>
        </w:rPr>
        <w:t>اعتكاف و جايگاه آن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مفهوم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 .   اعتكاف به چه معنا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«اعتكاف»، در لغت از ماده عكف به معناى توقف در جايى است</w:t>
      </w:r>
      <w:bookmarkStart w:id="2" w:name="_ftnref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w:t>
      </w:r>
      <w:r w:rsidRPr="005B4FA1">
        <w:rPr>
          <w:rFonts w:ascii="Tahoma" w:eastAsia="Times New Roman" w:hAnsi="Tahoma" w:cs="B Badr"/>
          <w:rtl/>
        </w:rPr>
        <w:fldChar w:fldCharType="end"/>
      </w:r>
      <w:bookmarkEnd w:id="2"/>
      <w:r w:rsidRPr="005B4FA1">
        <w:rPr>
          <w:rFonts w:ascii="Tahoma" w:eastAsia="Times New Roman" w:hAnsi="Tahoma" w:cs="B Badr" w:hint="cs"/>
          <w:rtl/>
          <w:lang w:bidi="fa-IR"/>
        </w:rPr>
        <w:t xml:space="preserve"> و در اصطلاح فقه، عبارت است از: «ماندن حداقل سه روز در مسجد، به قصد عبادت خداوند با شرايطى خاص».</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 .   آيا در قرآن 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درباره اهميت اعتكاف وجود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بايد دانست كه اصل اعتكاف يك عبادت مستحب است كه با نذر، عهد، قسم، اجاره و مانند آن واجب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3" w:name="_ftnref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w:t>
      </w:r>
      <w:r w:rsidRPr="005B4FA1">
        <w:rPr>
          <w:rFonts w:ascii="Tahoma" w:eastAsia="Times New Roman" w:hAnsi="Tahoma" w:cs="B Badr"/>
          <w:rtl/>
        </w:rPr>
        <w:fldChar w:fldCharType="end"/>
      </w:r>
      <w:bookmarkEnd w:id="3"/>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اين عبادت بايد با قصد قربت انجام گيرد. شخص مؤمن با قصد قربت سه  روز در مسجد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ماند و روزه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گيرد و جز براى امر ضرورى از آن خارج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و صرف توقف و ماندن در خانه خدا بدون قصد، اعتكاف  محسوب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هرچند واژه اعتكاف با اين شكل و قالب در قرآن به چشم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خورد ولى ريشه و ساير مشتقات آن در نه آيه</w:t>
      </w:r>
      <w:bookmarkStart w:id="4" w:name="_ftnref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w:t>
      </w:r>
      <w:r w:rsidRPr="005B4FA1">
        <w:rPr>
          <w:rFonts w:ascii="Tahoma" w:eastAsia="Times New Roman" w:hAnsi="Tahoma" w:cs="B Badr"/>
          <w:rtl/>
        </w:rPr>
        <w:fldChar w:fldCharType="end"/>
      </w:r>
      <w:bookmarkEnd w:id="4"/>
      <w:r w:rsidRPr="005B4FA1">
        <w:rPr>
          <w:rFonts w:ascii="Tahoma" w:eastAsia="Times New Roman" w:hAnsi="Tahoma" w:cs="B Badr" w:hint="cs"/>
          <w:rtl/>
          <w:lang w:bidi="fa-IR"/>
        </w:rPr>
        <w:t xml:space="preserve"> به كار رفته است كه تنها يك مورد آن در معناى اصطلاحى اعتكاف بوده است».</w:t>
      </w:r>
      <w:bookmarkStart w:id="5" w:name="_ftnref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w:t>
      </w:r>
      <w:r w:rsidRPr="005B4FA1">
        <w:rPr>
          <w:rFonts w:ascii="Tahoma" w:eastAsia="Times New Roman" w:hAnsi="Tahoma" w:cs="B Badr"/>
          <w:rtl/>
        </w:rPr>
        <w:fldChar w:fldCharType="end"/>
      </w:r>
      <w:bookmarkEnd w:id="5"/>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خداوند متعال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فرمايد: </w:t>
      </w:r>
      <w:r w:rsidRPr="005B4FA1">
        <w:rPr>
          <w:rFonts w:ascii="Tahoma" w:eastAsia="Times New Roman" w:hAnsi="Tahoma" w:cs="B Badr" w:hint="cs"/>
          <w:b/>
          <w:bCs/>
          <w:color w:val="008000"/>
          <w:rtl/>
          <w:lang w:bidi="fa-IR"/>
        </w:rPr>
        <w:t>(ثُمَّ أَتِمُّوا الصِّيامَ إِلَى اللَّيْلِ وَ لا تُبَاشِرُوهُنَّ وَ أَنْتُمْ عاكِفُونَ فِي الْمَساجِدِ تِلْكَ حُدُودُ اللّهِ فَلا تَقْرَبُوها كَذلِكَ يُبَيِّنُ اللّهُ آياتِهِ لِلنّاسِ لَعَلَّهُمْ يَتَّقُونَ)</w:t>
      </w:r>
      <w:bookmarkStart w:id="6" w:name="_ftnref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w:t>
      </w:r>
      <w:r w:rsidRPr="005B4FA1">
        <w:rPr>
          <w:rFonts w:ascii="Tahoma" w:eastAsia="Times New Roman" w:hAnsi="Tahoma" w:cs="B Badr"/>
          <w:rtl/>
        </w:rPr>
        <w:fldChar w:fldCharType="end"/>
      </w:r>
      <w:bookmarkEnd w:id="6"/>
      <w:r w:rsidRPr="005B4FA1">
        <w:rPr>
          <w:rFonts w:ascii="Tahoma" w:eastAsia="Times New Roman" w:hAnsi="Tahoma" w:cs="B Badr" w:hint="cs"/>
          <w:rtl/>
          <w:lang w:bidi="fa-IR"/>
        </w:rPr>
        <w:t>؛ «سپس روزه را تا شب تكميل كنيد و در حالى كه در مساجد به اعتكاف پرداخته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ايد، با زنان آميزش نكنيد. اين مرزهاى الهى است پس به آن نزديك نشويد. خداوند اين چنين آيات خود را براى مردم روشن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باشد كه پرهيزكار گردند».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اسلام عزلت و انزواى كامل از مردم را روان نداشته است، زيرا اين امر مسئوليت انسان را در زندگى و نقشى كه بايد در اصلاح آن داشته باشد از ميان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برد؛ ولى عزلت جستن موقت و كوتاه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مدت، امرى پسنديده و براى ادامه زندگى به انسان نيرو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دهد. از اين رو اعتكاف كه يكى از اين روش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هاست، مورد سفارش اسلام است.</w:t>
      </w:r>
      <w:bookmarkStart w:id="7" w:name="_ftnref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w:t>
      </w:r>
      <w:r w:rsidRPr="005B4FA1">
        <w:rPr>
          <w:rFonts w:ascii="Tahoma" w:eastAsia="Times New Roman" w:hAnsi="Tahoma" w:cs="B Badr"/>
          <w:rtl/>
        </w:rPr>
        <w:fldChar w:fldCharType="end"/>
      </w:r>
      <w:bookmarkEnd w:id="7"/>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«اعتكاف»، استحباب و فضيلت فراوان دارد و صفاى خاصى به روح و  جان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بخشد.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پيشينه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 .   اعتكاف از چه زمانى آغاز 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قرآن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فرمايد: </w:t>
      </w:r>
      <w:r w:rsidRPr="005B4FA1">
        <w:rPr>
          <w:rFonts w:ascii="Tahoma" w:eastAsia="Times New Roman" w:hAnsi="Tahoma" w:cs="B Badr" w:hint="cs"/>
          <w:b/>
          <w:bCs/>
          <w:color w:val="008000"/>
          <w:rtl/>
          <w:lang w:bidi="fa-IR"/>
        </w:rPr>
        <w:t>«وَ عَهِدْنا إِلى إِبْراهِيمَ وَ إِسْماعِيلَ أَنْ طَهِّرا بَيْتِيَ لِلطّائِفِينَ وَ الْعاكِفِينَ وَ الرُّكَّعِ السُّجُودِ»</w:t>
      </w:r>
      <w:bookmarkStart w:id="8" w:name="_ftnref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w:t>
      </w:r>
      <w:r w:rsidRPr="005B4FA1">
        <w:rPr>
          <w:rFonts w:ascii="Tahoma" w:eastAsia="Times New Roman" w:hAnsi="Tahoma" w:cs="B Badr"/>
          <w:rtl/>
        </w:rPr>
        <w:fldChar w:fldCharType="end"/>
      </w:r>
      <w:bookmarkEnd w:id="8"/>
      <w:r w:rsidRPr="005B4FA1">
        <w:rPr>
          <w:rFonts w:ascii="Tahoma" w:eastAsia="Times New Roman" w:hAnsi="Tahoma" w:cs="B Badr" w:hint="cs"/>
          <w:rtl/>
          <w:lang w:bidi="fa-IR"/>
        </w:rPr>
        <w:t>؛ «و ما به ابراهيم و اسماعيل امر كرديم كه خانه مرا براى طواف كنندگان و مجاوران و ركوع كنندگان و سجده كنندگان، پاك و پاكيزه كنيد».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مراسم اعتكاف، به زمان حضرت ابراهيم (علیه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السلام)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بر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گردد و بعد از او، در بعضى از شريعت</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و در زندگى برخى از صالحان - حضرت مريم و زكريا (علیهم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السلام)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به چشم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خورد. با ظهور دين اسلام، اين امر شكل تازه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به خود گرفت و در ميان مسلمانان، به عنوان يك عبادت مستحب با آداب و شرايط خاص رايج 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پيامبر اسلام (صلی</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وآله)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همه ساله در ماه رمضان - به ويژه دهه آخر آن - اعتكاف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كرد و دستور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داد رختخوابش را برچينند و چادرى در مسجد بر پا كنند و هميشه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فرمود: «ده  روز اعتكاف در ماه رمضان، برابر با دو حج و دو عمره است»</w:t>
      </w:r>
      <w:bookmarkStart w:id="9" w:name="_ftnref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w:t>
      </w:r>
      <w:r w:rsidRPr="005B4FA1">
        <w:rPr>
          <w:rFonts w:ascii="Tahoma" w:eastAsia="Times New Roman" w:hAnsi="Tahoma" w:cs="B Badr"/>
          <w:rtl/>
        </w:rPr>
        <w:fldChar w:fldCharType="end"/>
      </w:r>
      <w:bookmarkEnd w:id="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امام حسن و امام حسين (علیهماالسلام)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نيز به سنت اعتكاف عمل نموده و آن را زنده نگاه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داشتند.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در حديث آمده كه امام حسن (علیه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السلام)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با آنكه در حال اعتكاف بودند، براى رفع حاجت برادر دينى خود اقدام و او را از مشكل مالى نجات دادند.</w:t>
      </w:r>
      <w:bookmarkStart w:id="10" w:name="_ftnref1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w:t>
      </w:r>
      <w:r w:rsidRPr="005B4FA1">
        <w:rPr>
          <w:rFonts w:ascii="Tahoma" w:eastAsia="Times New Roman" w:hAnsi="Tahoma" w:cs="B Badr"/>
          <w:rtl/>
        </w:rPr>
        <w:fldChar w:fldCharType="end"/>
      </w:r>
      <w:bookmarkEnd w:id="10"/>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امام صادق (علیه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السلام)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نيز مانند نبى اكرم (صلی</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وآله)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در مسجدالنبى معتكف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شدند.</w:t>
      </w:r>
      <w:bookmarkStart w:id="11" w:name="_ftnref1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[11]</w:t>
      </w:r>
      <w:r w:rsidRPr="005B4FA1">
        <w:rPr>
          <w:rFonts w:ascii="Tahoma" w:eastAsia="Times New Roman" w:hAnsi="Tahoma" w:cs="B Badr"/>
          <w:rtl/>
        </w:rPr>
        <w:fldChar w:fldCharType="end"/>
      </w:r>
      <w:bookmarkEnd w:id="11"/>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اعتكاف در دوران غيبت امام زمان(عج) نيز ادامه داشته به ويژه در عصر صفوى كه در سايه تلاش</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عالمان دينى در شهرهاى ايران رونق خاصى يافته است</w:t>
      </w:r>
      <w:bookmarkStart w:id="12" w:name="_ftnref1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[12]</w:t>
      </w:r>
      <w:r w:rsidRPr="005B4FA1">
        <w:rPr>
          <w:rFonts w:ascii="Tahoma" w:eastAsia="Times New Roman" w:hAnsi="Tahoma" w:cs="B Badr"/>
          <w:rtl/>
        </w:rPr>
        <w:fldChar w:fldCharType="end"/>
      </w:r>
      <w:bookmarkEnd w:id="12"/>
      <w:r w:rsidRPr="005B4FA1">
        <w:rPr>
          <w:rFonts w:ascii="Tahoma" w:eastAsia="Times New Roman" w:hAnsi="Tahoma" w:cs="B Badr" w:hint="cs"/>
          <w:rtl/>
          <w:lang w:bidi="fa-IR"/>
        </w:rPr>
        <w:t xml:space="preserve"> و اكنون در بسيارى از شهرهاى كشورمان در روزهاى 13، 14 و 15 ماه رجب (ايام البيض) برگزار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 چرا در عصر ما اعتكاف در ماه رجب انجام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گيرد در حالى كه روايات فضيلت زمان اعتكاف را منحصر در ماه رمضان برشمرده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ترديدى نيست كه در هر زمانى كه روزه صحيح باشد، اعتكاف نيز صحيح است؛ ولى از متون دين استفاده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كه بهترين زمان براى انجام آن، ماه رمضان به ويژه دهه آخر آن است. اعتكاف در ماه رجب، هر چند در  متون دينى به صورت صريح و روشن يافت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اما در برخى روايات آمده «برآورده كردن نياز برادر مؤمن بهتر است از دو ماه روزه پى در پى در مسجدالحرام و دو ماه اعتكاف در آن مكان مقدس».</w:t>
      </w:r>
      <w:bookmarkStart w:id="13" w:name="_ftnref1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[13]</w:t>
      </w:r>
      <w:r w:rsidRPr="005B4FA1">
        <w:rPr>
          <w:rFonts w:ascii="Tahoma" w:eastAsia="Times New Roman" w:hAnsi="Tahoma" w:cs="B Badr"/>
          <w:rtl/>
        </w:rPr>
        <w:fldChar w:fldCharType="end"/>
      </w:r>
      <w:bookmarkEnd w:id="13"/>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در اين حديث به طور ضمنى اعتكاف در ماه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حرام از جمله ماه رجب، يادآورى شده است. افزون بر آن، خصوص ايام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البيض ماه رجب سفارش فراوان به روزه داشتن، دعا كردن و برآورده شدن حاجات و مانند آن شده است و شايد اين امر نيز باعث اهميت اعتكاف در ماه رجب گرديده است، لذا اين گفته برخى نويسندگان كه در خصوص ماه رجب روايتى يافت نشده، صحيح به نظر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رسد.</w:t>
      </w:r>
      <w:bookmarkStart w:id="14" w:name="_ftnref1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[14]</w:t>
      </w:r>
      <w:r w:rsidRPr="005B4FA1">
        <w:rPr>
          <w:rFonts w:ascii="Tahoma" w:eastAsia="Times New Roman" w:hAnsi="Tahoma" w:cs="B Badr"/>
          <w:rtl/>
        </w:rPr>
        <w:fldChar w:fldCharType="end"/>
      </w:r>
      <w:bookmarkEnd w:id="14"/>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 . آداب و مستحبات اعتكاف را بيان كنيد؟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آداب اعتكاف بر سه دسته است؛ برخى واجب و برخى حرام و دسته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نيز مستحب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باشد. دو قسم اول در شرايط و محرمات اعتكاف بيان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اما كارهايى كه انجام آن بر معتكف مستحب است عبارتند از:</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تلاوت قرآن،</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خواندن نماز،</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 ذكر و ياد خدا،</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دعا،</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5. تعليم و تعلم،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6. ترك سخن در امور دنيوى.</w:t>
      </w:r>
      <w:bookmarkStart w:id="15" w:name="_ftnref1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[15]</w:t>
      </w:r>
      <w:r w:rsidRPr="005B4FA1">
        <w:rPr>
          <w:rFonts w:ascii="Tahoma" w:eastAsia="Times New Roman" w:hAnsi="Tahoma" w:cs="B Badr"/>
          <w:rtl/>
        </w:rPr>
        <w:fldChar w:fldCharType="end"/>
      </w:r>
      <w:bookmarkEnd w:id="15"/>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در حديث آمده كه نبى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اكرم (صلی</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علیه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وآله)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در سفارش به ابوذر فرمود: «اى اباذر! هرگونه نشست و توقفى در مسجد لغو و بيهوده است، مگر سه چيز: قرائت قرآن، ياد خدا، پرداختن به مسائل علمى».</w:t>
      </w:r>
      <w:bookmarkStart w:id="16" w:name="_ftnref1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[16]</w:t>
      </w:r>
      <w:r w:rsidRPr="005B4FA1">
        <w:rPr>
          <w:rFonts w:ascii="Tahoma" w:eastAsia="Times New Roman" w:hAnsi="Tahoma" w:cs="B Badr"/>
          <w:rtl/>
        </w:rPr>
        <w:fldChar w:fldCharType="end"/>
      </w:r>
      <w:bookmarkEnd w:id="16"/>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فلسفه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 .فلسفه اعتكاف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«اعتكاف»، حكمت</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و فوايد فراوانى دارد كه بخشى از آنها عبارت است از:</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ايجاد زمينه مناسب براى انديشه و تفكّر؛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فراهم آمدن زمينه توبه و بازگشت؛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 فراهم شدن فرصت نيايش، نماز و تلاوت قرآن؛</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فراهم شدن دوره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كوتاه براى محاسبه نفس و خودسازى (كه حداقل سه روز طول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كشد و انسان را از حاكميت غريزه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عادت</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و اشتغالات معمول زندگى آزاد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اقسام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7 .  اعتكاف واجب است يا مستحب؟</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اعتكاف در اصل، يك عمل مستحبى است؛ ولى ممكن است به سببى - مانند نذر، عهد يا قسم - واجب شود. به عنوان مثال انسان نذر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يا با خداى خود عهد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بندد كه اگر در فلان كار، موفق شد، يا از فلان بيمارى شفا پيدا كرد، چند روز در مسجد معتكف شود</w:t>
      </w:r>
      <w:bookmarkStart w:id="17" w:name="_ftnref1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[17]</w:t>
      </w:r>
      <w:r w:rsidRPr="005B4FA1">
        <w:rPr>
          <w:rFonts w:ascii="Tahoma" w:eastAsia="Times New Roman" w:hAnsi="Tahoma" w:cs="B Badr"/>
          <w:rtl/>
        </w:rPr>
        <w:fldChar w:fldCharType="end"/>
      </w:r>
      <w:bookmarkEnd w:id="1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زمان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8 . آيا در هر زمان كه بخواهيم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توانيم، معتكف شويم يا زمان خاص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در هر زمان كه روزه صحيح باشد، اعتكاف نيز صحيح است. اعتكاف زمان خاصى ندارد؛ ولى بهترين زمان براى انجام آن، ماه مبارك رمضان به ويژه دهه آخر آن است</w:t>
      </w:r>
      <w:bookmarkStart w:id="18" w:name="_ftnref1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[18]</w:t>
      </w:r>
      <w:r w:rsidRPr="005B4FA1">
        <w:rPr>
          <w:rFonts w:ascii="Tahoma" w:eastAsia="Times New Roman" w:hAnsi="Tahoma" w:cs="B Badr"/>
          <w:rtl/>
        </w:rPr>
        <w:fldChar w:fldCharType="end"/>
      </w:r>
      <w:bookmarkEnd w:id="1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lastRenderedPageBreak/>
        <w:t>شرايط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9 .  شرايط صحت اعتكاف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معتكف عاقل باشد.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با قصد قربت باشد.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 اعتكاف حداقل سه روز متوالى باشد.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از مسجد بدون عذر خارج نشود.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5. در يكى از مساجد چهارگانه و يا مسجد جامع شهر باشد</w:t>
      </w:r>
      <w:bookmarkStart w:id="19" w:name="_ftnref1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[19]</w:t>
      </w:r>
      <w:r w:rsidRPr="005B4FA1">
        <w:rPr>
          <w:rFonts w:ascii="Tahoma" w:eastAsia="Times New Roman" w:hAnsi="Tahoma" w:cs="B Badr"/>
          <w:rtl/>
        </w:rPr>
        <w:fldChar w:fldCharType="end"/>
      </w:r>
      <w:bookmarkEnd w:id="1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6. اگر اعتكاف با حق شوهر منافات داشت، با اجازه او باشد.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7. اگر اعتكاف باعث اذيت و آزار پدر و مادر شود، با اجازه آن دو باشد.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شروع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10 . در روز اول اعتكاف، سحرى را در خانه خوردم و پس از نماز صبح به مسجد رفتم، اعتكاف من درست بوده يا نه؟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در اعتكاف، بايد از طلوع فجر روز اول تا مغرب شرعى روز سوم در مسجد باشد و تأخير در ورود و يا تعجيل در خروج، اشكال دارد</w:t>
      </w:r>
      <w:bookmarkStart w:id="20" w:name="_ftnref2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[20]</w:t>
      </w:r>
      <w:r w:rsidRPr="005B4FA1">
        <w:rPr>
          <w:rFonts w:ascii="Tahoma" w:eastAsia="Times New Roman" w:hAnsi="Tahoma" w:cs="B Badr"/>
          <w:rtl/>
        </w:rPr>
        <w:fldChar w:fldCharType="end"/>
      </w:r>
      <w:bookmarkEnd w:id="2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مقدار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11 .   تعداد روزهاى اعتكاف معين است، يا به دلخواه خود شخص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حداقل اعتكاف سه روز است و حداكثر آن به دلخواه شخص است؛ لكن هر دو روز كه به اعتكاف اضافه شود، روز سوم آن واجب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گردد</w:t>
      </w:r>
      <w:bookmarkStart w:id="21" w:name="_ftnref2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[21]</w:t>
      </w:r>
      <w:r w:rsidRPr="005B4FA1">
        <w:rPr>
          <w:rFonts w:ascii="Tahoma" w:eastAsia="Times New Roman" w:hAnsi="Tahoma" w:cs="B Badr"/>
          <w:rtl/>
        </w:rPr>
        <w:fldChar w:fldCharType="end"/>
      </w:r>
      <w:bookmarkEnd w:id="2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روزه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12 .  به علت بيمارى از روزه گرفتن معذورم، آيا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توانم بدون روزه اعتكاف كنم؟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چون روزه شرط صحّت اعتكاف است</w:t>
      </w:r>
      <w:bookmarkStart w:id="22" w:name="_ftnref2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[22]</w:t>
      </w:r>
      <w:r w:rsidRPr="005B4FA1">
        <w:rPr>
          <w:rFonts w:ascii="Tahoma" w:eastAsia="Times New Roman" w:hAnsi="Tahoma" w:cs="B Badr"/>
          <w:rtl/>
        </w:rPr>
        <w:fldChar w:fldCharType="end"/>
      </w:r>
      <w:bookmarkEnd w:id="2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تبصره. ترديدى نيست كه اصل توقف در مسجد و عبادت، خود مستحب و داراى ثواب است؛ هر چند به عنوان اعتكاف نباشد.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روزه قضا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13 .   آيا روزه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قضا كه بر عهده داريم،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توانيم در اعتكاف بگيريم؟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آرى، جايز است</w:t>
      </w:r>
      <w:bookmarkStart w:id="23" w:name="_ftnref2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[23]</w:t>
      </w:r>
      <w:r w:rsidRPr="005B4FA1">
        <w:rPr>
          <w:rFonts w:ascii="Tahoma" w:eastAsia="Times New Roman" w:hAnsi="Tahoma" w:cs="B Badr"/>
          <w:rtl/>
        </w:rPr>
        <w:fldChar w:fldCharType="end"/>
      </w:r>
      <w:bookmarkEnd w:id="2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imes New Roman" w:eastAsia="Times New Roman" w:hAnsi="Times New Roman" w:cs="B Badr" w:hint="cs"/>
          <w:sz w:val="28"/>
          <w:szCs w:val="32"/>
          <w:rtl/>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14 . آيا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روزه روز سوم اعتكاف را كه واجب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از روزه قضا حساب كرد، يا خودش واجب جداگانه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روزه گرفتن در روز سوم واجب است و اگر روزه قضا هم باشد، مانعى ندارد</w:t>
      </w:r>
      <w:bookmarkStart w:id="24" w:name="_ftnref2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[24]</w:t>
      </w:r>
      <w:r w:rsidRPr="005B4FA1">
        <w:rPr>
          <w:rFonts w:ascii="Tahoma" w:eastAsia="Times New Roman" w:hAnsi="Tahoma" w:cs="B Badr"/>
          <w:rtl/>
        </w:rPr>
        <w:fldChar w:fldCharType="end"/>
      </w:r>
      <w:bookmarkEnd w:id="2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پرسش 15 . اگر كسى روزه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قضاى خود را بگيرد و شب</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را در مسجد به سر ببرد؛ ولى روزها در مسجد نباشد، معتكف محسوب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معتكف محسوب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25" w:name="_ftnref2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[25]</w:t>
      </w:r>
      <w:r w:rsidRPr="005B4FA1">
        <w:rPr>
          <w:rFonts w:ascii="Tahoma" w:eastAsia="Times New Roman" w:hAnsi="Tahoma" w:cs="B Badr"/>
          <w:rtl/>
        </w:rPr>
        <w:fldChar w:fldCharType="end"/>
      </w:r>
      <w:bookmarkEnd w:id="2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بلوغ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16 .   آيا نوجوانى كه به حد بلوغ نرسيده است،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كند؟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شرايط اعتكاف را رعايت كند، اعتكافش صحيح است</w:t>
      </w:r>
      <w:bookmarkStart w:id="26" w:name="_ftnref2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[26]</w:t>
      </w:r>
      <w:r w:rsidRPr="005B4FA1">
        <w:rPr>
          <w:rFonts w:ascii="Tahoma" w:eastAsia="Times New Roman" w:hAnsi="Tahoma" w:cs="B Badr"/>
          <w:rtl/>
        </w:rPr>
        <w:fldChar w:fldCharType="end"/>
      </w:r>
      <w:bookmarkEnd w:id="2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جايزه و تشويق معتكف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پرسش 17 .   اگر كسى به انگيزه امور مادى در اعتكاف شركت كند، حكم آن  چگونه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در اعتكاف قصد قربت شرط است و بدون آن اعتكاف باطل است؛ ولى اگر كسى براى رضاى خدا در اعتكاف شركت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 هر چند به انگيزه در يافت تشويق مالى باشد - اعتكافش صحيح است</w:t>
      </w:r>
      <w:bookmarkStart w:id="27" w:name="_ftnref2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[27]</w:t>
      </w:r>
      <w:r w:rsidRPr="005B4FA1">
        <w:rPr>
          <w:rFonts w:ascii="Tahoma" w:eastAsia="Times New Roman" w:hAnsi="Tahoma" w:cs="B Badr"/>
          <w:rtl/>
        </w:rPr>
        <w:fldChar w:fldCharType="end"/>
      </w:r>
      <w:bookmarkEnd w:id="2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نيابت استيجارى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18 .  آيا نيابت اعتكاف از طرف مرده جايز است؟ آيا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در مقابل آن مزد بگيرد؟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آرى، نيابت از طرف مرده صحيح است و شخص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در مقابل آن مزد بگيرد.</w:t>
      </w:r>
      <w:bookmarkStart w:id="28" w:name="_ftnref2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[28]</w:t>
      </w:r>
      <w:r w:rsidRPr="005B4FA1">
        <w:rPr>
          <w:rFonts w:ascii="Tahoma" w:eastAsia="Times New Roman" w:hAnsi="Tahoma" w:cs="B Badr"/>
          <w:rtl/>
        </w:rPr>
        <w:fldChar w:fldCharType="end"/>
      </w:r>
      <w:bookmarkEnd w:id="28"/>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نيابت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19 .  آيا نيابت اعتكاف از طرف عده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از اموات صحيح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به نيابت از چند نفر مرده صحيح نيست؛ ولى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ثواب آن را به روح آنان هديه كند</w:t>
      </w:r>
      <w:bookmarkStart w:id="29" w:name="_ftnref2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"_ftn29"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[29]</w:t>
      </w:r>
      <w:r w:rsidRPr="005B4FA1">
        <w:rPr>
          <w:rFonts w:ascii="Tahoma" w:eastAsia="Times New Roman" w:hAnsi="Tahoma" w:cs="B Badr"/>
          <w:rtl/>
        </w:rPr>
        <w:fldChar w:fldCharType="end"/>
      </w:r>
      <w:bookmarkEnd w:id="2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20 .   آيا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به نيابت يك نفر زنده معتكف 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نيابت از انسان زنده اشكال دارد. البته اگر به قصد رجا باشد، نيابت جايز است</w:t>
      </w:r>
      <w:bookmarkStart w:id="30" w:name="_ftnref3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[30]</w:t>
      </w:r>
      <w:r w:rsidRPr="005B4FA1">
        <w:rPr>
          <w:rFonts w:ascii="Tahoma" w:eastAsia="Times New Roman" w:hAnsi="Tahoma" w:cs="B Badr"/>
          <w:rtl/>
        </w:rPr>
        <w:fldChar w:fldCharType="end"/>
      </w:r>
      <w:bookmarkEnd w:id="3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در سفر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21 . براى زيارت چند روزى به مشهد رفتم. اتفاقاً با ايام اعتكاف مصادف شد،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توانم معتكف شوم؟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انسان، در ايام اعتكاف بايد روزه بگيرد، و روزه براى مسافر صحيح نيست. پس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كند، مگر آنكه از پيش نذر كرده باشد در سفر روزه بگيرد. در اين صورت - اگر چه كمتر از ده روز در سفر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ماند - بايد روزه بگيرد و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معتكف شود</w:t>
      </w:r>
      <w:bookmarkStart w:id="31" w:name="_ftnref3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[31]</w:t>
      </w:r>
      <w:r w:rsidRPr="005B4FA1">
        <w:rPr>
          <w:rFonts w:ascii="Tahoma" w:eastAsia="Times New Roman" w:hAnsi="Tahoma" w:cs="B Badr"/>
          <w:rtl/>
        </w:rPr>
        <w:fldChar w:fldCharType="end"/>
      </w:r>
      <w:bookmarkEnd w:id="3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22 .   در ايام اعتكاف ماه رجب در مسافرت هستم، چگونه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توانم از اعتكاف بهره ببرم؟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تبريزى، صافى، فاضل، نورى و وحيد: اگر قصد ده روز كنيد،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توانيد در اعتكاف شركت كنيد؛ ولى نذر روزه در مسافرت جايز نيست</w:t>
      </w:r>
      <w:bookmarkStart w:id="32" w:name="_ftnref3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[32]</w:t>
      </w:r>
      <w:r w:rsidRPr="005B4FA1">
        <w:rPr>
          <w:rFonts w:ascii="Tahoma" w:eastAsia="Times New Roman" w:hAnsi="Tahoma" w:cs="B Badr"/>
          <w:rtl/>
        </w:rPr>
        <w:fldChar w:fldCharType="end"/>
      </w:r>
      <w:bookmarkEnd w:id="3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 آيات عظام بهجت، سيستانى و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توانيد حتى در همان سفر نذر روزه كنيد و در اعتكاف شركت نماييد</w:t>
      </w:r>
      <w:bookmarkStart w:id="33" w:name="_ftnref3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[33]</w:t>
      </w:r>
      <w:r w:rsidRPr="005B4FA1">
        <w:rPr>
          <w:rFonts w:ascii="Tahoma" w:eastAsia="Times New Roman" w:hAnsi="Tahoma" w:cs="B Badr"/>
          <w:rtl/>
        </w:rPr>
        <w:fldChar w:fldCharType="end"/>
      </w:r>
      <w:bookmarkEnd w:id="3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مكارم: اگر قصد ده روز كنيد،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توانيد در اعتكاف شركت كنيد؛ ولى نذر روزه در سفر اشكال دارد و اگر نذر كرد، احتياط آن است كه به نذر خود عمل كند</w:t>
      </w:r>
      <w:bookmarkStart w:id="34" w:name="_ftnref3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[34]</w:t>
      </w:r>
      <w:r w:rsidRPr="005B4FA1">
        <w:rPr>
          <w:rFonts w:ascii="Tahoma" w:eastAsia="Times New Roman" w:hAnsi="Tahoma" w:cs="B Badr"/>
          <w:rtl/>
        </w:rPr>
        <w:fldChar w:fldCharType="end"/>
      </w:r>
      <w:bookmarkEnd w:id="3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نذر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23 . نذر اعتكاف چگونه انجام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گيرد؟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قصد قربت، صيغه نذر اعتكاف را به عربى يا فارسى چنين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خواند: </w:t>
      </w:r>
      <w:r w:rsidRPr="005B4FA1">
        <w:rPr>
          <w:rFonts w:ascii="Tahoma" w:eastAsia="Times New Roman" w:hAnsi="Tahoma" w:cs="B Badr" w:hint="cs"/>
          <w:b/>
          <w:bCs/>
          <w:color w:val="008000"/>
          <w:rtl/>
          <w:lang w:bidi="fa-IR"/>
        </w:rPr>
        <w:t>«لِلّهِ عَلىَّ اَنْ اَعْتَكِفَ شَهْرَ رَجَب ثَلاثَةَ اَيّام»</w:t>
      </w:r>
      <w:r w:rsidRPr="005B4FA1">
        <w:rPr>
          <w:rFonts w:ascii="Tahoma" w:eastAsia="Times New Roman" w:hAnsi="Tahoma" w:cs="B Badr" w:hint="cs"/>
          <w:rtl/>
          <w:lang w:bidi="fa-IR"/>
        </w:rPr>
        <w:t xml:space="preserve"> يا «براى خدا به گردن من باشد كه در سه روز از ماه رجب را اعتكاف كنم» و اگر صيغه نخواند، نذر منعقد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35" w:name="_ftnref3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[35]</w:t>
      </w:r>
      <w:r w:rsidRPr="005B4FA1">
        <w:rPr>
          <w:rFonts w:ascii="Tahoma" w:eastAsia="Times New Roman" w:hAnsi="Tahoma" w:cs="B Badr"/>
          <w:rtl/>
        </w:rPr>
        <w:fldChar w:fldCharType="end"/>
      </w:r>
      <w:bookmarkEnd w:id="35"/>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تبصره 1. ماه رجب و سه روز به عنوان مثال آمده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تبصره 2. نذر بر دو نوع است: نذر مشروط و نذر مطلق. نذر مشروط آن است كه شخص به جهت انجام عمل نيك و يا اجتناب از كار ناشايست، آن را بر خود واجب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تا در نتيجه خداوند متعال حاجت او را برآورد. به عنوان مثال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گويد: «اگر فرزندم خوب شد و عافيت پيدا كرد، هزار تومان به فقير كمك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نذر مطلق نذرى است كه هيچ قيد و شرطى در آن مطرح نيست. به عنوان مثال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گويد: «من براى خدا نذر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كنم كه نماز شب بخوانم». در متن به عنوان مثال تنها صيغه نذر مطلق آمده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imes New Roman" w:eastAsia="Times New Roman" w:hAnsi="Times New Roman" w:cs="B Badr" w:hint="cs"/>
          <w:sz w:val="28"/>
          <w:szCs w:val="32"/>
          <w:rtl/>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24 .  كسى كه نذر كرده ايام البيض (روزهاى سيزدهم تا پانزدهم) ماه رجب را اعتكاف كند، چنانچه در اين ايام بيمار شود، تكليف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نذرش به سال خاصى تعيين شده - چنانچه به واسطه بيمارى نتواند روزه بگيرد يا در اعتكاف شركت كند - تكليف از او ساقط است و كفاره هم ندارد؛ ولى اگر براى نذرش سال تعيين نشده،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در سال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بعد اعتكاف كند</w:t>
      </w:r>
      <w:bookmarkStart w:id="36" w:name="_ftnref3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[36]</w:t>
      </w:r>
      <w:r w:rsidRPr="005B4FA1">
        <w:rPr>
          <w:rFonts w:ascii="Tahoma" w:eastAsia="Times New Roman" w:hAnsi="Tahoma" w:cs="B Badr"/>
          <w:rtl/>
        </w:rPr>
        <w:fldChar w:fldCharType="end"/>
      </w:r>
      <w:bookmarkEnd w:id="3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25 .   اگر اعتكاف را نذر كند و در ايام اعتكاف مريض شود، يا ضرورتى پيش آيد،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را به هم بزند؟ آيا در اين صورت كفاره و قضا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ايام يا سال خاصى براى نذر اعتكاف تعيين نشده و به واسطه بيمارى نتواند روزه بگيرد يا ضرورتى (مانند حيض) براى خانم</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پيش آيد، اعتكاف به هم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خورد و بايد قضاى آن را به جا آورد؛  ولى كفاره ندارد</w:t>
      </w:r>
      <w:bookmarkStart w:id="37" w:name="_ftnref3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[37]</w:t>
      </w:r>
      <w:r w:rsidRPr="005B4FA1">
        <w:rPr>
          <w:rFonts w:ascii="Tahoma" w:eastAsia="Times New Roman" w:hAnsi="Tahoma" w:cs="B Badr"/>
          <w:rtl/>
        </w:rPr>
        <w:fldChar w:fldCharType="end"/>
      </w:r>
      <w:bookmarkEnd w:id="3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قطع نذر اعتكافى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26 .كسى كه نذر كرده اعتكاف به جا آورد، آن گاه با گذشت يك روز از اعتكافش آن را به جهتى باطل كند، آيا قضاى آن واجب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جز تبريزى، سيستانى و وحيد): اگر نذرش معين باشد، بايد قضاى آن را به جا آورد و اگر معين نباشد، بايد آن را از سر  بگيرد</w:t>
      </w:r>
      <w:bookmarkStart w:id="38" w:name="_ftnref3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[38]</w:t>
      </w:r>
      <w:r w:rsidRPr="005B4FA1">
        <w:rPr>
          <w:rFonts w:ascii="Tahoma" w:eastAsia="Times New Roman" w:hAnsi="Tahoma" w:cs="B Badr"/>
          <w:rtl/>
        </w:rPr>
        <w:fldChar w:fldCharType="end"/>
      </w:r>
      <w:bookmarkEnd w:id="3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وحيد و سيستانى: اگر نذرش معين باشد بنابر احتياط واجب، بايد قضاى آن را بجا آورد و اگر معين نباشد بايد آن را از سر بگيرد</w:t>
      </w:r>
      <w:bookmarkStart w:id="39" w:name="_ftnref3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"_ftn39"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[39]</w:t>
      </w:r>
      <w:r w:rsidRPr="005B4FA1">
        <w:rPr>
          <w:rFonts w:ascii="Tahoma" w:eastAsia="Times New Roman" w:hAnsi="Tahoma" w:cs="B Badr"/>
          <w:rtl/>
        </w:rPr>
        <w:fldChar w:fldCharType="end"/>
      </w:r>
      <w:bookmarkEnd w:id="3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تبصره. اگر نذر معين نباشد قضا مطرح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بلكه به طور ادا بايد انجام دهد.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27 . آيا جايز است اعتكاف نذرى را در روز دوم به هم زد؟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ايام يا سال خاصى براى نذر اعتكاف تعيين نشده، در روز اول و دوم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به هم بزند و از اعتكاف خارج شود</w:t>
      </w:r>
      <w:bookmarkStart w:id="40" w:name="_ftnref4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[40]</w:t>
      </w:r>
      <w:r w:rsidRPr="005B4FA1">
        <w:rPr>
          <w:rFonts w:ascii="Tahoma" w:eastAsia="Times New Roman" w:hAnsi="Tahoma" w:cs="B Badr"/>
          <w:rtl/>
        </w:rPr>
        <w:fldChar w:fldCharType="end"/>
      </w:r>
      <w:bookmarkEnd w:id="4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اجازه پدر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28 .آيا اعتكاف فرزند بدون اجازه پدر صحيح است يا خير؟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باعث اذيت و آزار والدين نباشد، نياز به اجازه نيست و اعتكاف صحيح است</w:t>
      </w:r>
      <w:bookmarkStart w:id="41" w:name="_ftnref4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[41]</w:t>
      </w:r>
      <w:r w:rsidRPr="005B4FA1">
        <w:rPr>
          <w:rFonts w:ascii="Tahoma" w:eastAsia="Times New Roman" w:hAnsi="Tahoma" w:cs="B Badr"/>
          <w:rtl/>
        </w:rPr>
        <w:fldChar w:fldCharType="end"/>
      </w:r>
      <w:bookmarkEnd w:id="4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اجازه شوهر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29 . آيا زن براى رفتن به اعتكاف، نياز به اجازه شوهر دارد و اگر بدون اجازه برود، آيا اعتكافش صحيح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امام: زن بايد با اجازه شوهرش به اعتكاف برود و اگر اجازه ندهد - چنانچه باعث تضييع حق (زناشويى) او شود - بنابر احتياط واجب اعتكافش باطل است و اگر با حق او منافات نداشته باشد، اعتكافش صحيح است</w:t>
      </w:r>
      <w:bookmarkStart w:id="42" w:name="_ftnref4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[42]</w:t>
      </w:r>
      <w:r w:rsidRPr="005B4FA1">
        <w:rPr>
          <w:rFonts w:ascii="Tahoma" w:eastAsia="Times New Roman" w:hAnsi="Tahoma" w:cs="B Badr"/>
          <w:rtl/>
        </w:rPr>
        <w:fldChar w:fldCharType="end"/>
      </w:r>
      <w:bookmarkEnd w:id="4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فاضل و وحيد: زن بايد با اجازه شوهرش به اعتكاف برود و اگر اجازه ندهد - چنانچه باعث تضييع حق (زناشويى) او شود - اعتكافش باطل است و اگر با حق او منافات نداشته باشد، اعتكافش  صحيح است</w:t>
      </w:r>
      <w:bookmarkStart w:id="43" w:name="_ftnref4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[43]</w:t>
      </w:r>
      <w:r w:rsidRPr="005B4FA1">
        <w:rPr>
          <w:rFonts w:ascii="Tahoma" w:eastAsia="Times New Roman" w:hAnsi="Tahoma" w:cs="B Badr"/>
          <w:rtl/>
        </w:rPr>
        <w:fldChar w:fldCharType="end"/>
      </w:r>
      <w:bookmarkEnd w:id="4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بهجت و تبريزى: زن بايد با اجازه شوهرش به اعتكاف برود و اگر اجازه ندهد - چنانچه باعث تضييع حق (زناشويى) او شود - اعتكافش باطل است و اگر با حق او منافات نداشته باشد، بنابر احتياط واجب باطل است</w:t>
      </w:r>
      <w:bookmarkStart w:id="44" w:name="_ftnref4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[44]</w:t>
      </w:r>
      <w:r w:rsidRPr="005B4FA1">
        <w:rPr>
          <w:rFonts w:ascii="Tahoma" w:eastAsia="Times New Roman" w:hAnsi="Tahoma" w:cs="B Badr"/>
          <w:rtl/>
        </w:rPr>
        <w:fldChar w:fldCharType="end"/>
      </w:r>
      <w:bookmarkEnd w:id="4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سيستانى و صافى:  زن بايد با اجازه شوهرش از منزل بيرون رود و اگر اجازه ندهد، اعتكافش باطل است (هر چند باعث تضييع حق زناشويى او نشود)</w:t>
      </w:r>
      <w:bookmarkStart w:id="45" w:name="_ftnref4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[45]</w:t>
      </w:r>
      <w:r w:rsidRPr="005B4FA1">
        <w:rPr>
          <w:rFonts w:ascii="Tahoma" w:eastAsia="Times New Roman" w:hAnsi="Tahoma" w:cs="B Badr"/>
          <w:rtl/>
        </w:rPr>
        <w:fldChar w:fldCharType="end"/>
      </w:r>
      <w:bookmarkEnd w:id="4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مكارم: بنابر احتياط واجب، زن بايد با اجازه شوهرش به اعتكاف برود و اگر اجازه ندهد - چنانچه باعث تضييع حق (زناشويى) او شود - بنابر احتياط واجب اعتكافش باطل است</w:t>
      </w:r>
      <w:bookmarkStart w:id="46" w:name="_ftnref4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[46]</w:t>
      </w:r>
      <w:r w:rsidRPr="005B4FA1">
        <w:rPr>
          <w:rFonts w:ascii="Tahoma" w:eastAsia="Times New Roman" w:hAnsi="Tahoma" w:cs="B Badr"/>
          <w:rtl/>
        </w:rPr>
        <w:fldChar w:fldCharType="end"/>
      </w:r>
      <w:bookmarkEnd w:id="4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نورى: زن بايد بااجازه شوهرش به اعتكاف برود و اگر اجازه ندهد - چنانچه باعث تضييع حق (زناشويى) او شود - اعتكافش باطل است و اگر با حق او منافات نداشته باشد، اعتكافش صحيح است، مگر آنكه روزه او در اعتكاف مستحبى باشد</w:t>
      </w:r>
      <w:bookmarkStart w:id="47" w:name="_ftnref4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[47]</w:t>
      </w:r>
      <w:r w:rsidRPr="005B4FA1">
        <w:rPr>
          <w:rFonts w:ascii="Tahoma" w:eastAsia="Times New Roman" w:hAnsi="Tahoma" w:cs="B Badr"/>
          <w:rtl/>
        </w:rPr>
        <w:fldChar w:fldCharType="end"/>
      </w:r>
      <w:bookmarkEnd w:id="4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كارمند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پرسش 30 .   آيا اعتكاف كارمندان ادارى و كارگران در ساعات كار جايز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قرارداد كار به گونه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است كه كارمند و كارگر، بايد در ساعات ادارى، در اداره و مؤسسه باشند، شركت در اعتكاف بدون اجازه از مسئولان امر صحيح نيست</w:t>
      </w:r>
      <w:bookmarkStart w:id="48" w:name="_ftnref4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[48]</w:t>
      </w:r>
      <w:r w:rsidRPr="005B4FA1">
        <w:rPr>
          <w:rFonts w:ascii="Tahoma" w:eastAsia="Times New Roman" w:hAnsi="Tahoma" w:cs="B Badr"/>
          <w:rtl/>
        </w:rPr>
        <w:fldChar w:fldCharType="end"/>
      </w:r>
      <w:bookmarkEnd w:id="4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مسجد جامع</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31 .منظور از مسجد جامع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مسجد جامع مسجدى است كه اقشار مختلف مردم، در آن شركت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كنند و اختصاص به محله يا صنف خاصى ندارد</w:t>
      </w:r>
      <w:bookmarkStart w:id="49" w:name="_ftnref4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"_ftn49"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[49]</w:t>
      </w:r>
      <w:r w:rsidRPr="005B4FA1">
        <w:rPr>
          <w:rFonts w:ascii="Tahoma" w:eastAsia="Times New Roman" w:hAnsi="Tahoma" w:cs="B Badr"/>
          <w:rtl/>
        </w:rPr>
        <w:fldChar w:fldCharType="end"/>
      </w:r>
      <w:bookmarkEnd w:id="4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حياط مسجد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32 .   آيا در حياط مسجد هم اعتكاف صحيح است يا خير؟ همچنين  در زيرزمين و پشت بام مسجد؟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جزء مسجد باشد، صحيح است</w:t>
      </w:r>
      <w:bookmarkStart w:id="50" w:name="_ftnref5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[50]</w:t>
      </w:r>
      <w:r w:rsidRPr="005B4FA1">
        <w:rPr>
          <w:rFonts w:ascii="Tahoma" w:eastAsia="Times New Roman" w:hAnsi="Tahoma" w:cs="B Badr"/>
          <w:rtl/>
        </w:rPr>
        <w:fldChar w:fldCharType="end"/>
      </w:r>
      <w:bookmarkEnd w:id="5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سرداب و بام مسجد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33 .   اعتكاف در مكان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هايى كه شك داريم جزء مسجد است (مانند بام، سرداب و مقدارى كه به مسجد افزوده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چگونه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آنچه مشكوك است، حكم مسجد را ندارد و اعتكاف در آن صحيح نيست</w:t>
      </w:r>
      <w:bookmarkStart w:id="51" w:name="_ftnref5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[51]</w:t>
      </w:r>
      <w:r w:rsidRPr="005B4FA1">
        <w:rPr>
          <w:rFonts w:ascii="Tahoma" w:eastAsia="Times New Roman" w:hAnsi="Tahoma" w:cs="B Badr"/>
          <w:rtl/>
        </w:rPr>
        <w:fldChar w:fldCharType="end"/>
      </w:r>
      <w:bookmarkEnd w:id="5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تعدد مسجد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34 .   اگر در شهرى كه مساجد جامع متعدد باشد، تكليف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معتكف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در هر كدام كه بخواهد اعتكاف كند</w:t>
      </w:r>
      <w:bookmarkStart w:id="52" w:name="_ftnref5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[52]</w:t>
      </w:r>
      <w:r w:rsidRPr="005B4FA1">
        <w:rPr>
          <w:rFonts w:ascii="Tahoma" w:eastAsia="Times New Roman" w:hAnsi="Tahoma" w:cs="B Badr"/>
          <w:rtl/>
        </w:rPr>
        <w:fldChar w:fldCharType="end"/>
      </w:r>
      <w:bookmarkEnd w:id="5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35 .   آيا جايز است اعتكاف را در دو مسجد و يا دو شبستان انجام داد؟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جايز نيست؛ مگر آنكه دو مسجد و يا دو شبستان به هم متصل باشد؛ به گونه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كه يك مسجد محسوب شود</w:t>
      </w:r>
      <w:bookmarkStart w:id="53" w:name="_ftnref5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[53]</w:t>
      </w:r>
      <w:r w:rsidRPr="005B4FA1">
        <w:rPr>
          <w:rFonts w:ascii="Tahoma" w:eastAsia="Times New Roman" w:hAnsi="Tahoma" w:cs="B Badr"/>
          <w:rtl/>
        </w:rPr>
        <w:fldChar w:fldCharType="end"/>
      </w:r>
      <w:bookmarkEnd w:id="5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مكان خاص</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36 .   اگر محل خاصى از مسجد را براى اعتكاف خود معين كند، آيا لازم است خود را به آن مقيد كند؟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متعيّن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54" w:name="_ftnref5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[54]</w:t>
      </w:r>
      <w:r w:rsidRPr="005B4FA1">
        <w:rPr>
          <w:rFonts w:ascii="Tahoma" w:eastAsia="Times New Roman" w:hAnsi="Tahoma" w:cs="B Badr"/>
          <w:rtl/>
        </w:rPr>
        <w:fldChar w:fldCharType="end"/>
      </w:r>
      <w:bookmarkEnd w:id="5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مسجد دانشگاه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37 .   با توجّه به اينكه اعتكاف بايد در مسجد جامع شهر باشد، آيا جايز است در مسجد دانشگاه اعتكاف را به قصد رجا انجام داد؟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جز امام و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اعتكاف در مسجد دانشگاه صحيح نيست</w:t>
      </w:r>
      <w:bookmarkStart w:id="55" w:name="_ftnref5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[55]</w:t>
      </w:r>
      <w:r w:rsidRPr="005B4FA1">
        <w:rPr>
          <w:rFonts w:ascii="Tahoma" w:eastAsia="Times New Roman" w:hAnsi="Tahoma" w:cs="B Badr"/>
          <w:rtl/>
        </w:rPr>
        <w:fldChar w:fldCharType="end"/>
      </w:r>
      <w:bookmarkEnd w:id="5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امام: اعتكاف بايد در مساجد چهارگانه باشد و بنابر احتياط واجب  در مساجد جامع، بايد به قصد رجا انجام گيرد و در غير مساجد جامع صحيح نيست</w:t>
      </w:r>
      <w:bookmarkStart w:id="56" w:name="_ftnref5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[56]</w:t>
      </w:r>
      <w:r w:rsidRPr="005B4FA1">
        <w:rPr>
          <w:rFonts w:ascii="Tahoma" w:eastAsia="Times New Roman" w:hAnsi="Tahoma" w:cs="B Badr"/>
          <w:rtl/>
        </w:rPr>
        <w:fldChar w:fldCharType="end"/>
      </w:r>
      <w:bookmarkEnd w:id="5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به قصد رجا اشكال ندارد</w:t>
      </w:r>
      <w:bookmarkStart w:id="57" w:name="_ftnref5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[57]</w:t>
      </w:r>
      <w:r w:rsidRPr="005B4FA1">
        <w:rPr>
          <w:rFonts w:ascii="Tahoma" w:eastAsia="Times New Roman" w:hAnsi="Tahoma" w:cs="B Badr"/>
          <w:rtl/>
        </w:rPr>
        <w:fldChar w:fldCharType="end"/>
      </w:r>
      <w:bookmarkEnd w:id="5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تبصره. مساجد اربعه عبارتند از: مسجد الحرام، مسجد النبى، مسجد كوفه و مسجد بصره.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38 . مراجع تقليد، اعتكاف را تنها در مساجد جامع جايز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دانند؛ آيا دانشجويان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توانند نذر كنند كه سه روز در مسجد دانشگاه اجتماع كنند؟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آرى، نذر فوق صحيح است و از ثواب عبادت و دعا بهره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مند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شوند؛ ولى اين امر اعتكاف محسوب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58" w:name="_ftnref5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[58]</w:t>
      </w:r>
      <w:r w:rsidRPr="005B4FA1">
        <w:rPr>
          <w:rFonts w:ascii="Tahoma" w:eastAsia="Times New Roman" w:hAnsi="Tahoma" w:cs="B Badr"/>
          <w:rtl/>
        </w:rPr>
        <w:fldChar w:fldCharType="end"/>
      </w:r>
      <w:bookmarkEnd w:id="5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تبصره. متعلق نذر به هر صورت كه نيت شود، بايد طبق آن عمل شود. بنابراين در كم و زياد كردن روزهاى عبادت و يا ساعات حضور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تغيير داد.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بانوان</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39 .   آيا بانوان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توانند در خانه خود اعتكاف كنند؟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اعتكاف بايد در مسجد باشد</w:t>
      </w:r>
      <w:bookmarkStart w:id="59" w:name="_ftnref5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"_ftn59"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[59]</w:t>
      </w:r>
      <w:r w:rsidRPr="005B4FA1">
        <w:rPr>
          <w:rFonts w:ascii="Tahoma" w:eastAsia="Times New Roman" w:hAnsi="Tahoma" w:cs="B Badr"/>
          <w:rtl/>
        </w:rPr>
        <w:fldChar w:fldCharType="end"/>
      </w:r>
      <w:bookmarkEnd w:id="5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40 .   آيا زن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جهت شركت در اعتكاف، براى جلوگيرى از عادت ماهيانه قرص مصرف كند؟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ضرر نداشته باشد، اشكال ندارد.</w:t>
      </w:r>
      <w:bookmarkStart w:id="60" w:name="_ftnref6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[60]</w:t>
      </w:r>
      <w:r w:rsidRPr="005B4FA1">
        <w:rPr>
          <w:rFonts w:ascii="Tahoma" w:eastAsia="Times New Roman" w:hAnsi="Tahoma" w:cs="B Badr"/>
          <w:rtl/>
        </w:rPr>
        <w:fldChar w:fldCharType="end"/>
      </w:r>
      <w:bookmarkEnd w:id="60"/>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بيماران</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41 .   آيا كسى كه روزه برايش ضرر دارد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جهت درك ثواب اعتكاف معتكف 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خير،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معتكف شود و ثواب اعتكاف را درك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w:t>
      </w:r>
      <w:bookmarkStart w:id="61" w:name="_ftnref6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[61]</w:t>
      </w:r>
      <w:r w:rsidRPr="005B4FA1">
        <w:rPr>
          <w:rFonts w:ascii="Tahoma" w:eastAsia="Times New Roman" w:hAnsi="Tahoma" w:cs="B Badr"/>
          <w:rtl/>
        </w:rPr>
        <w:fldChar w:fldCharType="end"/>
      </w:r>
      <w:bookmarkEnd w:id="61"/>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تزريق آمپول</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42 .   كسى كه هر روز نياز به تزريق آمپول دارد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كند و به جهت آن از مسجد خارج 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بهجت و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اگر آمپول جنبه غذايى و تقويتى دارد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كند ولى بنا بر احتياط واجب بايد از تزريق آن خوددارى كند (چون روزه را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و اگر جنبه دارويى دارد و يا عضو را  بى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حس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جهت تزريق از مسجد خارج شود.</w:t>
      </w:r>
      <w:bookmarkStart w:id="62" w:name="_ftnref6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[62]</w:t>
      </w:r>
      <w:r w:rsidRPr="005B4FA1">
        <w:rPr>
          <w:rFonts w:ascii="Tahoma" w:eastAsia="Times New Roman" w:hAnsi="Tahoma" w:cs="B Badr"/>
          <w:rtl/>
        </w:rPr>
        <w:fldChar w:fldCharType="end"/>
      </w:r>
      <w:bookmarkEnd w:id="62"/>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سيستانى، صافى، مكارم، نورى و وحيد: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كند و براى تزريق از مسجد خارج شود.</w:t>
      </w:r>
      <w:bookmarkStart w:id="63" w:name="_ftnref6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[63]</w:t>
      </w:r>
      <w:r w:rsidRPr="005B4FA1">
        <w:rPr>
          <w:rFonts w:ascii="Tahoma" w:eastAsia="Times New Roman" w:hAnsi="Tahoma" w:cs="B Badr"/>
          <w:rtl/>
        </w:rPr>
        <w:fldChar w:fldCharType="end"/>
      </w:r>
      <w:bookmarkEnd w:id="63"/>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فاضل: اگر آمپول جنبه غذايى و تقويتى دارد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كند ولى بايد از تزريق آن خوددارى كند (چون روزه را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و اگر جنبه دارويى دارد و يا عضو را بى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حس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جهت تزريق از مسجد خارج شود.</w:t>
      </w:r>
      <w:bookmarkStart w:id="64" w:name="_ftnref6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[64]</w:t>
      </w:r>
      <w:r w:rsidRPr="005B4FA1">
        <w:rPr>
          <w:rFonts w:ascii="Tahoma" w:eastAsia="Times New Roman" w:hAnsi="Tahoma" w:cs="B Badr"/>
          <w:rtl/>
        </w:rPr>
        <w:fldChar w:fldCharType="end"/>
      </w:r>
      <w:bookmarkEnd w:id="64"/>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xml:space="preserve">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sz w:val="24"/>
          <w:szCs w:val="24"/>
          <w:rtl/>
          <w:lang w:bidi="fa-IR"/>
        </w:rPr>
        <w:t>محرمات اعتكاف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محرمات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43 . محرمات اعتكاف كدام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xml:space="preserve">محرمات اعتكاف عبارت است از: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نزديكى با همسر،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ملاعبه با همسر (بنابر احتياط واجب).</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 خريد و فروش غير ضرورى،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3. استمنا (بنابر احتياط واجب)،</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بوييدن عطر و گياهان خوشبو به قصد لذت بردن،</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5. مجادله به منظور غلبه بر ديگرى و اظهار فضل.</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تلفن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44 .   گفت</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وگو با تلفن همراه در مسجد، در موارد غيرضرورى و مكرر، چه صورت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اشكال ندارد</w:t>
      </w:r>
      <w:bookmarkStart w:id="65" w:name="_ftnref6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[65]</w:t>
      </w:r>
      <w:r w:rsidRPr="005B4FA1">
        <w:rPr>
          <w:rFonts w:ascii="Tahoma" w:eastAsia="Times New Roman" w:hAnsi="Tahoma" w:cs="B Badr"/>
          <w:rtl/>
        </w:rPr>
        <w:fldChar w:fldCharType="end"/>
      </w:r>
      <w:bookmarkEnd w:id="6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درس و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45 . آيا جايز است در اعتكاف، دروس خود را مباحثه كرد؟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بهجت،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صافى و فاضل: درس خواندن، حل مسائل و مباحثه - به ويژه در امور دينى - بسيار كار پسنديده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است؛ ولى اگر مباحثه و مجادله به منظور غلبه بر ديگرى و اظهار فضل باشد، حرام است و بنابر احتياط واجب اعتكاف را نيز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معيار تشخيص آن، قصد و نيت شخص است</w:t>
      </w:r>
      <w:bookmarkStart w:id="66" w:name="_ftnref6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[66]</w:t>
      </w:r>
      <w:r w:rsidRPr="005B4FA1">
        <w:rPr>
          <w:rFonts w:ascii="Tahoma" w:eastAsia="Times New Roman" w:hAnsi="Tahoma" w:cs="B Badr"/>
          <w:rtl/>
        </w:rPr>
        <w:fldChar w:fldCharType="end"/>
      </w:r>
      <w:bookmarkEnd w:id="6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تبريزى: مباحثه - به ويژه در امور دينى - بسيار كار پسنديده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است؛ ولى اگر مباحثه و مجادله به منظور غلبه بر ديگرى و اظهار فضل باشد، حرام است؛ ولى اعتكاف را باطل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معيار تشخيص آن، قصد و نيت شخص است</w:t>
      </w:r>
      <w:bookmarkStart w:id="67" w:name="_ftnref6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[67]</w:t>
      </w:r>
      <w:r w:rsidRPr="005B4FA1">
        <w:rPr>
          <w:rFonts w:ascii="Tahoma" w:eastAsia="Times New Roman" w:hAnsi="Tahoma" w:cs="B Badr"/>
          <w:rtl/>
        </w:rPr>
        <w:fldChar w:fldCharType="end"/>
      </w:r>
      <w:bookmarkEnd w:id="6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سيستانى، مكارم، نورى و وحيد: مباحثه - به ويژه در امور دينى - بسيار كار پسنديده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است؛ ولى اگر مباحثه و مجادله به منظور غلبه بر ديگرى و اظهار فضل باشد، حرام است و اعتكاف را نيز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معيار تشخيص آن، قصد و نيت شخص است</w:t>
      </w:r>
      <w:bookmarkStart w:id="68" w:name="_ftnref6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[68]</w:t>
      </w:r>
      <w:r w:rsidRPr="005B4FA1">
        <w:rPr>
          <w:rFonts w:ascii="Tahoma" w:eastAsia="Times New Roman" w:hAnsi="Tahoma" w:cs="B Badr"/>
          <w:rtl/>
        </w:rPr>
        <w:fldChar w:fldCharType="end"/>
      </w:r>
      <w:bookmarkEnd w:id="6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معامله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46 .   خريد و فروش در صورت ضرورت و عدم ضرورت، براى معتكف چه حكمى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خريد و فروش غيرضرورى جايز نيست</w:t>
      </w:r>
      <w:bookmarkStart w:id="69" w:name="_ftnref6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"_ftn69"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[69]</w:t>
      </w:r>
      <w:r w:rsidRPr="005B4FA1">
        <w:rPr>
          <w:rFonts w:ascii="Tahoma" w:eastAsia="Times New Roman" w:hAnsi="Tahoma" w:cs="B Badr"/>
          <w:rtl/>
        </w:rPr>
        <w:fldChar w:fldCharType="end"/>
      </w:r>
      <w:bookmarkEnd w:id="6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قطع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47 .   آيا قطع اعتكاف گناه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اعتكاف واجب باشد و يا دو روز اعتكاف مستحبى را گذرانده باشد و بخواهد اعتكاف را به هم بزند، معصيت كرده است</w:t>
      </w:r>
      <w:bookmarkStart w:id="70" w:name="_ftnref7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[70]</w:t>
      </w:r>
      <w:r w:rsidRPr="005B4FA1">
        <w:rPr>
          <w:rFonts w:ascii="Tahoma" w:eastAsia="Times New Roman" w:hAnsi="Tahoma" w:cs="B Badr"/>
          <w:rtl/>
        </w:rPr>
        <w:fldChar w:fldCharType="end"/>
      </w:r>
      <w:bookmarkEnd w:id="7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48 .   در صورتى كه شخص در روز سوم اعتكاف مستحبى، مريض شود و يا اضطرارى پيش آيد،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اعتكاف را به هم زند؟ آيا در اين صورت كفاره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در صورتى كه معذور از گرفتن روزه باشد، اعتكاف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ولى كفاره ندارد</w:t>
      </w:r>
      <w:bookmarkStart w:id="71" w:name="_ftnref7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[71]</w:t>
      </w:r>
      <w:r w:rsidRPr="005B4FA1">
        <w:rPr>
          <w:rFonts w:ascii="Tahoma" w:eastAsia="Times New Roman" w:hAnsi="Tahoma" w:cs="B Badr"/>
          <w:rtl/>
        </w:rPr>
        <w:fldChar w:fldCharType="end"/>
      </w:r>
      <w:bookmarkEnd w:id="7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راه قطع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49 . آيا راهى هست كه هر زمان معتكف خواست از اعتكاف خارج 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همه مراجع: آرى،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در آغاز نيت اعتكاف شرط كند كه اگر عذر عرفى يا شرعى برايش پيدا شد، بتواند اعتكاف را بر هم زند؛ هر چند در روز سوم باشد</w:t>
      </w:r>
      <w:bookmarkStart w:id="72" w:name="_ftnref7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[72]</w:t>
      </w:r>
      <w:r w:rsidRPr="005B4FA1">
        <w:rPr>
          <w:rFonts w:ascii="Tahoma" w:eastAsia="Times New Roman" w:hAnsi="Tahoma" w:cs="B Badr"/>
          <w:rtl/>
        </w:rPr>
        <w:fldChar w:fldCharType="end"/>
      </w:r>
      <w:bookmarkEnd w:id="7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شرط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50 . آيا معتكف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به هنگام نيت اعتكاف، شرط كند كه هر زمان خواست (هر چند بدون عذر)، از اعتكاف خارج 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امام: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شرط كند كه اگر عذر عرفى يا شرعى برايش پيدا شد، بتواند از اعتكاف خارج شود؛ ولى بدون عذر جايز نيست</w:t>
      </w:r>
      <w:bookmarkStart w:id="73" w:name="_ftnref7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[73]</w:t>
      </w:r>
      <w:r w:rsidRPr="005B4FA1">
        <w:rPr>
          <w:rFonts w:ascii="Tahoma" w:eastAsia="Times New Roman" w:hAnsi="Tahoma" w:cs="B Badr"/>
          <w:rtl/>
        </w:rPr>
        <w:fldChar w:fldCharType="end"/>
      </w:r>
      <w:bookmarkEnd w:id="7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بهجت، صافى، فاضل و نورى: آرى، چنين شرطى جايز است و اگر شرط كرد - هر زمان كه خواست -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از اعتكاف خارج شود</w:t>
      </w:r>
      <w:bookmarkStart w:id="74" w:name="_ftnref7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[74]</w:t>
      </w:r>
      <w:r w:rsidRPr="005B4FA1">
        <w:rPr>
          <w:rFonts w:ascii="Tahoma" w:eastAsia="Times New Roman" w:hAnsi="Tahoma" w:cs="B Badr"/>
          <w:rtl/>
        </w:rPr>
        <w:fldChar w:fldCharType="end"/>
      </w:r>
      <w:bookmarkEnd w:id="7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سيستانى، مكارم و وحيد: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شرط كند كه اگر عذر عرفى يا شرعى برايش پيدا شد، بتواند از اعتكاف را خارج شود؛ ولى بدون عذر بنابر احتياط واجب، جايز نيست</w:t>
      </w:r>
      <w:bookmarkStart w:id="75" w:name="_ftnref7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[75]</w:t>
      </w:r>
      <w:r w:rsidRPr="005B4FA1">
        <w:rPr>
          <w:rFonts w:ascii="Tahoma" w:eastAsia="Times New Roman" w:hAnsi="Tahoma" w:cs="B Badr"/>
          <w:rtl/>
        </w:rPr>
        <w:fldChar w:fldCharType="end"/>
      </w:r>
      <w:bookmarkEnd w:id="7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خروج از مسجد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51 .   در چه مواردى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از مسجد خارج 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خارج شدن از مسجد جايز نيست؛ مگر به جهت ضرورت عقلى ، عرفى و شرعى؛ مانند: مراجعه به پزشك در موارد اضطرار، رفتن به دستشويى (ضرورت عقلى)، عيادت بيمار، تشييع جنازه مرده (ضرورت عرفى)، غسل و وضوى واجب (ضرورت شرعى)</w:t>
      </w:r>
      <w:bookmarkStart w:id="76" w:name="_ftnref7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[76]</w:t>
      </w:r>
      <w:r w:rsidRPr="005B4FA1">
        <w:rPr>
          <w:rFonts w:ascii="Tahoma" w:eastAsia="Times New Roman" w:hAnsi="Tahoma" w:cs="B Badr"/>
          <w:rtl/>
        </w:rPr>
        <w:fldChar w:fldCharType="end"/>
      </w:r>
      <w:bookmarkEnd w:id="7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52 .   اگر كسى به جهت ضرورت از مسجد خارج شود و خروج او طولانى گردد، اعتكافش چه حكمى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به قدرى باشد كه صورت اعتكاف را به هم زند، اعتكاف او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77" w:name="_ftnref7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[77]</w:t>
      </w:r>
      <w:r w:rsidRPr="005B4FA1">
        <w:rPr>
          <w:rFonts w:ascii="Tahoma" w:eastAsia="Times New Roman" w:hAnsi="Tahoma" w:cs="B Badr"/>
          <w:rtl/>
        </w:rPr>
        <w:fldChar w:fldCharType="end"/>
      </w:r>
      <w:bookmarkEnd w:id="7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توقف در سايه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53 . گفته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اگر معتكف به خاطر عذر و ضرورت از مسجد خارج شود حق ندارد از كنار سايه حركت كند، آيا اين سخن صحيح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فاضل و نورى: نشستن او در زير سايه جايز نيست (مگر در هنگام ضرورت) و بنا بر احتياط واجب در آفتاب نيز اشكال دارد ولى راه رفتن در زير سايه اشكال ندارد.</w:t>
      </w:r>
      <w:bookmarkStart w:id="78" w:name="_ftnref7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[78]</w:t>
      </w:r>
      <w:r w:rsidRPr="005B4FA1">
        <w:rPr>
          <w:rFonts w:ascii="Tahoma" w:eastAsia="Times New Roman" w:hAnsi="Tahoma" w:cs="B Badr"/>
          <w:rtl/>
        </w:rPr>
        <w:fldChar w:fldCharType="end"/>
      </w:r>
      <w:bookmarkEnd w:id="78"/>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بهجت و صافى: نشستن او در زير سايه جايز نيست (مگر در هنگام ضرورت) و بنا بر احتياط واجب در آفتاب نيز اشكال دارد و راه رفتن در زير سايه نيز بنا بر احتياط واجب جايز نيست.</w:t>
      </w:r>
      <w:bookmarkStart w:id="79" w:name="_ftnref7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"_ftn79"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[79]</w:t>
      </w:r>
      <w:r w:rsidRPr="005B4FA1">
        <w:rPr>
          <w:rFonts w:ascii="Tahoma" w:eastAsia="Times New Roman" w:hAnsi="Tahoma" w:cs="B Badr"/>
          <w:rtl/>
        </w:rPr>
        <w:fldChar w:fldCharType="end"/>
      </w:r>
      <w:bookmarkEnd w:id="79"/>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و وحيد: نشستن او در زير سايه و آفتاب بنا بر احتياط واجب جايز نيست و اگر مضطر شد از نشستن در زير سايه اجتناب كند ولى راه رفتن در زير سايه اشكال ندارد.</w:t>
      </w:r>
      <w:bookmarkStart w:id="80" w:name="_ftnref8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[80]</w:t>
      </w:r>
      <w:r w:rsidRPr="005B4FA1">
        <w:rPr>
          <w:rFonts w:ascii="Tahoma" w:eastAsia="Times New Roman" w:hAnsi="Tahoma" w:cs="B Badr"/>
          <w:rtl/>
        </w:rPr>
        <w:fldChar w:fldCharType="end"/>
      </w:r>
      <w:bookmarkEnd w:id="80"/>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سيستانى: نشستن او در زير ساير جايز نيست (مگر در هنگام ضرورت) و بنا بر احتياط واجب بعد از رفع حاجت، نشستن او  هر چند در آفتاب اشكال دارد ولى راه رفتن در زير سايه اشكال ندارد.</w:t>
      </w:r>
      <w:bookmarkStart w:id="81" w:name="_ftnref8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[81]</w:t>
      </w:r>
      <w:r w:rsidRPr="005B4FA1">
        <w:rPr>
          <w:rFonts w:ascii="Tahoma" w:eastAsia="Times New Roman" w:hAnsi="Tahoma" w:cs="B Badr"/>
          <w:rtl/>
        </w:rPr>
        <w:fldChar w:fldCharType="end"/>
      </w:r>
      <w:bookmarkEnd w:id="81"/>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مكارم: نشستن او در زير سايه و آفتاب جايز نيست ولى راه رفتن در سايه اشكال ندارد.</w:t>
      </w:r>
      <w:bookmarkStart w:id="82" w:name="_ftnref8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[82]</w:t>
      </w:r>
      <w:r w:rsidRPr="005B4FA1">
        <w:rPr>
          <w:rFonts w:ascii="Tahoma" w:eastAsia="Times New Roman" w:hAnsi="Tahoma" w:cs="B Badr"/>
          <w:rtl/>
        </w:rPr>
        <w:fldChar w:fldCharType="end"/>
      </w:r>
      <w:bookmarkEnd w:id="82"/>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lastRenderedPageBreak/>
        <w:t>جهل به احكام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54 .   اگر كسى از روى فراموشى از اعتكاف خارج شود، چه حكمى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بهجت، فاضل و نورى: اعتكافش باطل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83" w:name="_ftnref8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[83]</w:t>
      </w:r>
      <w:r w:rsidRPr="005B4FA1">
        <w:rPr>
          <w:rFonts w:ascii="Tahoma" w:eastAsia="Times New Roman" w:hAnsi="Tahoma" w:cs="B Badr"/>
          <w:rtl/>
        </w:rPr>
        <w:fldChar w:fldCharType="end"/>
      </w:r>
      <w:bookmarkEnd w:id="8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و سيستانى: اعتكافش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84" w:name="_ftnref8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[84]</w:t>
      </w:r>
      <w:r w:rsidRPr="005B4FA1">
        <w:rPr>
          <w:rFonts w:ascii="Tahoma" w:eastAsia="Times New Roman" w:hAnsi="Tahoma" w:cs="B Badr"/>
          <w:rtl/>
        </w:rPr>
        <w:fldChar w:fldCharType="end"/>
      </w:r>
      <w:bookmarkEnd w:id="8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صافى، مكارم و وحيد: بنابر احتياط واجب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85" w:name="_ftnref8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[85]</w:t>
      </w:r>
      <w:r w:rsidRPr="005B4FA1">
        <w:rPr>
          <w:rFonts w:ascii="Tahoma" w:eastAsia="Times New Roman" w:hAnsi="Tahoma" w:cs="B Badr"/>
          <w:rtl/>
        </w:rPr>
        <w:fldChar w:fldCharType="end"/>
      </w:r>
      <w:bookmarkEnd w:id="8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تبصره. چنانچه خروج از اعتكاف به حدى طولانى شود كه از صورت اعتكاف خارج گردد، اعتكاف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55 .   اگر كسى به جهت ندانستن مسئله از اعتكاف خارج شود، اعتكافش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آرى، اعتكافش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86" w:name="_ftnref8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[86]</w:t>
      </w:r>
      <w:r w:rsidRPr="005B4FA1">
        <w:rPr>
          <w:rFonts w:ascii="Tahoma" w:eastAsia="Times New Roman" w:hAnsi="Tahoma" w:cs="B Badr"/>
          <w:rtl/>
        </w:rPr>
        <w:fldChar w:fldCharType="end"/>
      </w:r>
      <w:bookmarkEnd w:id="8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وضو و غسل</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56 .خارج شدن معتكف از مسجد براى گرفتن وضو و غسل مستحبى چه حكمى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بهجت،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صافى و فاضل: اشكال ندارد</w:t>
      </w:r>
      <w:bookmarkStart w:id="87" w:name="_ftnref8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[87]</w:t>
      </w:r>
      <w:r w:rsidRPr="005B4FA1">
        <w:rPr>
          <w:rFonts w:ascii="Tahoma" w:eastAsia="Times New Roman" w:hAnsi="Tahoma" w:cs="B Badr"/>
          <w:rtl/>
        </w:rPr>
        <w:fldChar w:fldCharType="end"/>
      </w:r>
      <w:bookmarkEnd w:id="8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سيستانى، مكارم، نورى و وحيد: بنابر احتياط واجب جايز نيست</w:t>
      </w:r>
      <w:bookmarkStart w:id="88" w:name="_ftnref8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[88]</w:t>
      </w:r>
      <w:r w:rsidRPr="005B4FA1">
        <w:rPr>
          <w:rFonts w:ascii="Tahoma" w:eastAsia="Times New Roman" w:hAnsi="Tahoma" w:cs="B Badr"/>
          <w:rtl/>
        </w:rPr>
        <w:fldChar w:fldCharType="end"/>
      </w:r>
      <w:bookmarkEnd w:id="8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سالن غذاخورى مسجد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57 .   آيا صرف غذا در سالن غذاخورى مسجد، براى معتكفان جايز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ضرورتى اقتضا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 نبايد از مسجد خارج شوند</w:t>
      </w:r>
      <w:bookmarkStart w:id="89" w:name="_ftnref8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"_ftn89"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[89]</w:t>
      </w:r>
      <w:r w:rsidRPr="005B4FA1">
        <w:rPr>
          <w:rFonts w:ascii="Tahoma" w:eastAsia="Times New Roman" w:hAnsi="Tahoma" w:cs="B Badr"/>
          <w:rtl/>
        </w:rPr>
        <w:fldChar w:fldCharType="end"/>
      </w:r>
      <w:bookmarkEnd w:id="8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پرداخت بدهى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58 .  آيا معتكف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جهت پرداخت بدهى خود، از مسجد خارج 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آرى،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تواند خارج شود</w:t>
      </w:r>
      <w:bookmarkStart w:id="90" w:name="_ftnref9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[90]</w:t>
      </w:r>
      <w:r w:rsidRPr="005B4FA1">
        <w:rPr>
          <w:rFonts w:ascii="Tahoma" w:eastAsia="Times New Roman" w:hAnsi="Tahoma" w:cs="B Badr"/>
          <w:rtl/>
        </w:rPr>
        <w:fldChar w:fldCharType="end"/>
      </w:r>
      <w:bookmarkEnd w:id="9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و كلاس درس</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59 .   آيا در ايام اعتكاف، رفتن به كلاس و شركت در درس</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 جايز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خروج از مسجد و شركت در كلاس</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هاى درسى، اشكال دارد</w:t>
      </w:r>
      <w:bookmarkStart w:id="91" w:name="_ftnref9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[91]</w:t>
      </w:r>
      <w:r w:rsidRPr="005B4FA1">
        <w:rPr>
          <w:rFonts w:ascii="Tahoma" w:eastAsia="Times New Roman" w:hAnsi="Tahoma" w:cs="B Badr"/>
          <w:rtl/>
        </w:rPr>
        <w:fldChar w:fldCharType="end"/>
      </w:r>
      <w:bookmarkEnd w:id="9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و نماز جمعه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60 .   براى رفتن به نماز جمعه،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توان از محل اعتكاف خارج شد؟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جز تبريزى، نورى و وحيد): آرى، جايز است</w:t>
      </w:r>
      <w:bookmarkStart w:id="92" w:name="_ftnref9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[92]</w:t>
      </w:r>
      <w:r w:rsidRPr="005B4FA1">
        <w:rPr>
          <w:rFonts w:ascii="Tahoma" w:eastAsia="Times New Roman" w:hAnsi="Tahoma" w:cs="B Badr"/>
          <w:rtl/>
        </w:rPr>
        <w:fldChar w:fldCharType="end"/>
      </w:r>
      <w:bookmarkEnd w:id="9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و وحيد: بنابر احتياط واجب جايز نيست</w:t>
      </w:r>
      <w:bookmarkStart w:id="93" w:name="_ftnref9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[93]</w:t>
      </w:r>
      <w:r w:rsidRPr="005B4FA1">
        <w:rPr>
          <w:rFonts w:ascii="Tahoma" w:eastAsia="Times New Roman" w:hAnsi="Tahoma" w:cs="B Badr"/>
          <w:rtl/>
        </w:rPr>
        <w:fldChar w:fldCharType="end"/>
      </w:r>
      <w:bookmarkEnd w:id="9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نورى: جايز نيست</w:t>
      </w:r>
      <w:bookmarkStart w:id="94" w:name="_ftnref9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[94]</w:t>
      </w:r>
      <w:r w:rsidRPr="005B4FA1">
        <w:rPr>
          <w:rFonts w:ascii="Tahoma" w:eastAsia="Times New Roman" w:hAnsi="Tahoma" w:cs="B Badr"/>
          <w:rtl/>
        </w:rPr>
        <w:fldChar w:fldCharType="end"/>
      </w:r>
      <w:bookmarkEnd w:id="94"/>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تبصره. بنابر فتواى كسانى كه رفتن به نماز جمعه را در ايام اعتكاف جايز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دانند، بايد حداقل زمان لازم را رعايت كنند تا شكل و صورت اعتكاف، به هم نخورد.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غصب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61 .اگر شخصى در اعتكاف جاى كسى را بگيرد، آيا اعتكافش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سيستانى، فاضل و نورى: كار حرامى كرده؛ ولى اعتكافش باطل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95" w:name="_ftnref9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[95]</w:t>
      </w:r>
      <w:r w:rsidRPr="005B4FA1">
        <w:rPr>
          <w:rFonts w:ascii="Tahoma" w:eastAsia="Times New Roman" w:hAnsi="Tahoma" w:cs="B Badr"/>
          <w:rtl/>
        </w:rPr>
        <w:fldChar w:fldCharType="end"/>
      </w:r>
      <w:bookmarkEnd w:id="9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بهجت: كار حرامى كرده؛ ولى اعتكافش باطل نمى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مگر آنكه به جز اين مكان، جاى ديگرى نباشد</w:t>
      </w:r>
      <w:bookmarkStart w:id="96" w:name="_ftnref9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[96]</w:t>
      </w:r>
      <w:r w:rsidRPr="005B4FA1">
        <w:rPr>
          <w:rFonts w:ascii="Tahoma" w:eastAsia="Times New Roman" w:hAnsi="Tahoma" w:cs="B Badr"/>
          <w:rtl/>
        </w:rPr>
        <w:fldChar w:fldCharType="end"/>
      </w:r>
      <w:bookmarkEnd w:id="9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و صافى: كار حرامى كرده و بنابر احتياط واجب، اعتكافش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97" w:name="_ftnref9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[97]</w:t>
      </w:r>
      <w:r w:rsidRPr="005B4FA1">
        <w:rPr>
          <w:rFonts w:ascii="Tahoma" w:eastAsia="Times New Roman" w:hAnsi="Tahoma" w:cs="B Badr"/>
          <w:rtl/>
        </w:rPr>
        <w:fldChar w:fldCharType="end"/>
      </w:r>
      <w:bookmarkEnd w:id="9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مكارم و وحيد: كار حرامى كرده و اعتكافش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bookmarkStart w:id="98" w:name="_ftnref9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[98]</w:t>
      </w:r>
      <w:r w:rsidRPr="005B4FA1">
        <w:rPr>
          <w:rFonts w:ascii="Tahoma" w:eastAsia="Times New Roman" w:hAnsi="Tahoma" w:cs="B Badr"/>
          <w:rtl/>
        </w:rPr>
        <w:fldChar w:fldCharType="end"/>
      </w:r>
      <w:bookmarkEnd w:id="9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افطارى معتكف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62 . استفاده از افطارى و سحرى معتكفان، براى ديگران چه حكمى دارد؟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بدون اجازه دهندگان، جايز نيست</w:t>
      </w:r>
      <w:bookmarkStart w:id="99" w:name="_ftnref9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"_ftn99"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[99]</w:t>
      </w:r>
      <w:r w:rsidRPr="005B4FA1">
        <w:rPr>
          <w:rFonts w:ascii="Tahoma" w:eastAsia="Times New Roman" w:hAnsi="Tahoma" w:cs="B Badr"/>
          <w:rtl/>
        </w:rPr>
        <w:fldChar w:fldCharType="end"/>
      </w:r>
      <w:bookmarkEnd w:id="99"/>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اعتكاف و غسل</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63 .اگر محتلم شويم، غسل را در داخل مسجد انجام دهيم؟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جز صافى): اگر معتكف محتلم شود و غسل كردن در مسجد به جهت توقف يا نجس كردن مسجد ممكن نباشد، واجب است از مسجد خارج شود</w:t>
      </w:r>
      <w:bookmarkStart w:id="100" w:name="_ftnref10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[100]</w:t>
      </w:r>
      <w:r w:rsidRPr="005B4FA1">
        <w:rPr>
          <w:rFonts w:ascii="Tahoma" w:eastAsia="Times New Roman" w:hAnsi="Tahoma" w:cs="B Badr"/>
          <w:rtl/>
        </w:rPr>
        <w:fldChar w:fldCharType="end"/>
      </w:r>
      <w:bookmarkEnd w:id="10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صافى: آرى، بايد از مسجد خارج شود، هر چند غسل در مسجد باعث مكث يا نجس كردن مسجد نشود</w:t>
      </w:r>
      <w:bookmarkStart w:id="101" w:name="_ftnref10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[101]</w:t>
      </w:r>
      <w:r w:rsidRPr="005B4FA1">
        <w:rPr>
          <w:rFonts w:ascii="Tahoma" w:eastAsia="Times New Roman" w:hAnsi="Tahoma" w:cs="B Badr"/>
          <w:rtl/>
        </w:rPr>
        <w:fldChar w:fldCharType="end"/>
      </w:r>
      <w:bookmarkEnd w:id="10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64 .   بعد از نماز صبح محتلم شدم، امّا غسل را تا ظهر به تأخير انداختم؛ آيا اعتكاف اشكال پيدا كرده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توقّف جنب در مسجد حرام است و پس از احتلام، بايد  فورى از مسجد خارج شويد و غسل كنيد. چنانچه در انجام دادن غسل تأخير كنيد و با حال جنابت در مسجد بمانيد، اعتكاف شما باطل است</w:t>
      </w:r>
      <w:bookmarkStart w:id="102" w:name="_ftnref10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[102]</w:t>
      </w:r>
      <w:r w:rsidRPr="005B4FA1">
        <w:rPr>
          <w:rFonts w:ascii="Tahoma" w:eastAsia="Times New Roman" w:hAnsi="Tahoma" w:cs="B Badr"/>
          <w:rtl/>
        </w:rPr>
        <w:fldChar w:fldCharType="end"/>
      </w:r>
      <w:bookmarkEnd w:id="10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حيض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65 .   اگر زن در حال اعتكاف عادت ماهانه شود، تكليف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جز تبريزى و وحيد): اعتكاف او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و بايد در اسرع وقت از مسجد خارج شود و چنانچه عادت ماهانه در روز سوم اتفاق بيفتد، بايد قضاى ان را بجاى آورد.</w:t>
      </w:r>
      <w:bookmarkStart w:id="103" w:name="_ftnref10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[103]</w:t>
      </w:r>
      <w:r w:rsidRPr="005B4FA1">
        <w:rPr>
          <w:rFonts w:ascii="Tahoma" w:eastAsia="Times New Roman" w:hAnsi="Tahoma" w:cs="B Badr"/>
          <w:rtl/>
        </w:rPr>
        <w:fldChar w:fldCharType="end"/>
      </w:r>
      <w:bookmarkEnd w:id="103"/>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تبريزى و وحيد: اعتكاف او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 و بايد در اسرع وقت از مسجد خارج شود و چنانچه عادت ماهانه در روز سوم اتفاق بيفتد بنا بر احتياط واجب بايد قضاى آن را به جاى آورد.</w:t>
      </w:r>
      <w:bookmarkStart w:id="104" w:name="_ftnref104"/>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"_ftn104"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[104]</w:t>
      </w:r>
      <w:r w:rsidRPr="005B4FA1">
        <w:rPr>
          <w:rFonts w:ascii="Tahoma" w:eastAsia="Times New Roman" w:hAnsi="Tahoma" w:cs="B Badr"/>
          <w:rtl/>
        </w:rPr>
        <w:fldChar w:fldCharType="end"/>
      </w:r>
      <w:bookmarkEnd w:id="104"/>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مبطلات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پرسش 66 .انجام دادن چه كارهايى، اعتكاف را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كند؟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امام،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و فاضل: هر كارى كه مبطل روزه است و نيز تماس و آميزش (هرچند در شب باشد)، اعتكاف را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و بنابر احتياط واجب، انجام دادن ساير محرمات اعتكاف نيز مبطل اعتكاف است</w:t>
      </w:r>
      <w:bookmarkStart w:id="105" w:name="_ftnref105"/>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"_ftn105"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[105]</w:t>
      </w:r>
      <w:r w:rsidRPr="005B4FA1">
        <w:rPr>
          <w:rFonts w:ascii="Tahoma" w:eastAsia="Times New Roman" w:hAnsi="Tahoma" w:cs="B Badr"/>
          <w:rtl/>
        </w:rPr>
        <w:fldChar w:fldCharType="end"/>
      </w:r>
      <w:bookmarkEnd w:id="105"/>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بهجت و صافى: هر كارى كه مبطل روزه است و نيز آميزش (هرچند در شب باشد) اعتكاف را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و بنابر احتياط واجب، انجام دادن محرمات اعتكاف نيز مبطل اعتكاف است</w:t>
      </w:r>
      <w:bookmarkStart w:id="106" w:name="_ftnref106"/>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"_ftn106"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[106]</w:t>
      </w:r>
      <w:r w:rsidRPr="005B4FA1">
        <w:rPr>
          <w:rFonts w:ascii="Tahoma" w:eastAsia="Times New Roman" w:hAnsi="Tahoma" w:cs="B Badr"/>
          <w:rtl/>
        </w:rPr>
        <w:fldChar w:fldCharType="end"/>
      </w:r>
      <w:bookmarkEnd w:id="106"/>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آية 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تبريزى: هر كارى كه مبطل روزه است، اعتكاف را نيز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 ولى انجام دادن محرمات اعتكاف - به جز آميزش - مبطل اعتكاف نيست</w:t>
      </w:r>
      <w:bookmarkStart w:id="107" w:name="_ftnref107"/>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"_ftn107"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[107]</w:t>
      </w:r>
      <w:r w:rsidRPr="005B4FA1">
        <w:rPr>
          <w:rFonts w:ascii="Tahoma" w:eastAsia="Times New Roman" w:hAnsi="Tahoma" w:cs="B Badr"/>
          <w:rtl/>
        </w:rPr>
        <w:fldChar w:fldCharType="end"/>
      </w:r>
      <w:bookmarkEnd w:id="107"/>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سيستانى، مكارم، نورى و وحيد: انجام دادن محرمات اعتكاف و هر كارى كه مبطل روزه است، اعتكاف را باطل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سازد</w:t>
      </w:r>
      <w:bookmarkStart w:id="108" w:name="_ftnref108"/>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"_ftn108"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[108]</w:t>
      </w:r>
      <w:r w:rsidRPr="005B4FA1">
        <w:rPr>
          <w:rFonts w:ascii="Tahoma" w:eastAsia="Times New Roman" w:hAnsi="Tahoma" w:cs="B Badr"/>
          <w:rtl/>
        </w:rPr>
        <w:fldChar w:fldCharType="end"/>
      </w:r>
      <w:bookmarkEnd w:id="108"/>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قى در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67 . اگر معتكف در روز به جهت حالت تهوع، قى كند، حكم اعتكافش چيست؟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بى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اختيار باشد، روزه و اعتكافش صحيح است.</w:t>
      </w:r>
      <w:bookmarkStart w:id="109" w:name="_ftnref109"/>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"_ftn109"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[109]</w:t>
      </w:r>
      <w:r w:rsidRPr="005B4FA1">
        <w:rPr>
          <w:rFonts w:ascii="Tahoma" w:eastAsia="Times New Roman" w:hAnsi="Tahoma" w:cs="B Badr"/>
          <w:rtl/>
        </w:rPr>
        <w:fldChar w:fldCharType="end"/>
      </w:r>
      <w:bookmarkEnd w:id="109"/>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كفاره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68 . در چه مواردى بطلان اعتكاف موجب كفاره هم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اگر اعتكاف را با آميزش (جماع) باطل كند، كفاره واجب است و در ساير محرمات كفاره نيست؛ هر چند پرداخت آن احتياط مستحب است</w:t>
      </w:r>
      <w:bookmarkStart w:id="110" w:name="_ftnref110"/>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"_ftn110"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[110]</w:t>
      </w:r>
      <w:r w:rsidRPr="005B4FA1">
        <w:rPr>
          <w:rFonts w:ascii="Tahoma" w:eastAsia="Times New Roman" w:hAnsi="Tahoma" w:cs="B Badr"/>
          <w:rtl/>
        </w:rPr>
        <w:fldChar w:fldCharType="end"/>
      </w:r>
      <w:bookmarkEnd w:id="110"/>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69 .   كفاره اعتكاف چقدر است؟</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كفاره بطلان اعتكاف، مانند كفاره روزه ماه رمضان است؛ يعنى، بايد دو  ماه روزه بگيرد و يا به 60 مسكين، طعام دهد</w:t>
      </w:r>
      <w:bookmarkStart w:id="111" w:name="_ftnref111"/>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"_ftn111"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[111]</w:t>
      </w:r>
      <w:r w:rsidRPr="005B4FA1">
        <w:rPr>
          <w:rFonts w:ascii="Tahoma" w:eastAsia="Times New Roman" w:hAnsi="Tahoma" w:cs="B Badr"/>
          <w:rtl/>
        </w:rPr>
        <w:fldChar w:fldCharType="end"/>
      </w:r>
      <w:bookmarkEnd w:id="111"/>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color w:val="000080"/>
          <w:rtl/>
          <w:lang w:bidi="fa-IR"/>
        </w:rPr>
        <w:t>قضاى اعتكاف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پرسش 70 . چنانچه اعتكاف مستحبى را به جهتى به هم بزند، آيا قضاى آن واجب مى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شود؟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همه مراجع (به جز تبريزى، سيستانى و وحيد): اگر بعد از روز دوم باطل كند،  بايد قضاى آن را به جا آورد</w:t>
      </w:r>
      <w:bookmarkStart w:id="112" w:name="_ftnref112"/>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"_ftn112"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[112]</w:t>
      </w:r>
      <w:r w:rsidRPr="005B4FA1">
        <w:rPr>
          <w:rFonts w:ascii="Tahoma" w:eastAsia="Times New Roman" w:hAnsi="Tahoma" w:cs="B Badr"/>
          <w:rtl/>
        </w:rPr>
        <w:fldChar w:fldCharType="end"/>
      </w:r>
      <w:bookmarkEnd w:id="112"/>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آيات عظام تبريزى، سيستانى و وحيد: اگر بعد از روز دوم باطل كند، بنابر احتياط واجب بايد قضاى آن را به جا آورد و اگر پيش از آن باشد، چيزى بر عهده او نيست</w:t>
      </w:r>
      <w:bookmarkStart w:id="113" w:name="_ftnref113"/>
      <w:r w:rsidRPr="005B4FA1">
        <w:rPr>
          <w:rFonts w:ascii="Tahoma" w:eastAsia="Times New Roman" w:hAnsi="Tahoma" w:cs="B Badr"/>
          <w:rtl/>
        </w:rPr>
        <w:fldChar w:fldCharType="begin"/>
      </w:r>
      <w:r w:rsidRPr="005B4FA1">
        <w:rPr>
          <w:rFonts w:ascii="Tahoma" w:eastAsia="Times New Roman" w:hAnsi="Tahoma" w:cs="B Badr"/>
          <w:rtl/>
        </w:rPr>
        <w:instrText xml:space="preserve"> </w:instrText>
      </w:r>
      <w:r w:rsidRPr="005B4FA1">
        <w:rPr>
          <w:rFonts w:ascii="Tahoma" w:eastAsia="Times New Roman" w:hAnsi="Tahoma" w:cs="B Badr"/>
        </w:rPr>
        <w:instrText>HYPERLINK "http://www.porseman.org/showarticle.aspx?id=1245" \l "_ftn113" \o</w:instrText>
      </w:r>
      <w:r w:rsidRPr="005B4FA1">
        <w:rPr>
          <w:rFonts w:ascii="Tahoma" w:eastAsia="Times New Roman" w:hAnsi="Tahoma" w:cs="B Badr"/>
          <w:rtl/>
        </w:rPr>
        <w:instrText xml:space="preserve"> "" </w:instrText>
      </w:r>
      <w:r w:rsidRPr="005B4FA1">
        <w:rPr>
          <w:rFonts w:ascii="Tahoma" w:eastAsia="Times New Roman" w:hAnsi="Tahoma" w:cs="B Badr"/>
          <w:rtl/>
        </w:rPr>
        <w:fldChar w:fldCharType="separate"/>
      </w:r>
      <w:r w:rsidRPr="005B4FA1">
        <w:rPr>
          <w:rFonts w:ascii="Tahoma" w:eastAsia="Times New Roman" w:hAnsi="Tahoma" w:cs="B Badr" w:hint="cs"/>
          <w:color w:val="0000FF"/>
          <w:sz w:val="26"/>
          <w:rtl/>
          <w:lang w:bidi="fa-IR"/>
        </w:rPr>
        <w:t>[113]</w:t>
      </w:r>
      <w:r w:rsidRPr="005B4FA1">
        <w:rPr>
          <w:rFonts w:ascii="Tahoma" w:eastAsia="Times New Roman" w:hAnsi="Tahoma" w:cs="B Badr"/>
          <w:rtl/>
        </w:rPr>
        <w:fldChar w:fldCharType="end"/>
      </w:r>
      <w:bookmarkEnd w:id="113"/>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تبصره. قضاى اعتكاف مانند اصل اعتكاف است. بنابراين بايد شرايط آن را رعايت كند و حداقل سه روز متوالى روزه بگيرد.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b/>
          <w:bCs/>
          <w:sz w:val="24"/>
          <w:szCs w:val="24"/>
          <w:rtl/>
          <w:lang w:bidi="fa-IR"/>
        </w:rPr>
        <w:t>كتابنامه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 قرآن كريم، ترجمه استاد فولادوند.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2. سيد على حسينى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اجوبة الاستفتائات، تهران: الهدى، اول، 1381.</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 محمد تقى بهجت، استفتائات، قم: شفق.</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4. حسين نورى، استفتائات، قم: مهدى موعود.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5. سيد روح</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موسوى خمينى، استفتائات، قم: دفتر انتشارات اسلامى، اول، 1372.</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6. ميرزا جواد تبريزى، استفتائات جديد، قم: سرور، اول، 1378.</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7. ناصر مكارم شيرازى، استفتائات جديد، قم: مدرسه على بن ابيطالب، اول، 1379.</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8. حسين مظاهرى، اعتكاف سلوك منتظران، تهران: مؤسسه انتشاراتى الزهرا.</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9. ابوالقاسم عليان نژاد، اعتكاف عبادتى كامل، قم: مدرسه اميرالمؤمنين، مرداد 86.</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10. الشهيد الثانى، الروضة البهيه فى شرح اللمعة الدمشقية، قم: داورى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11. سيد على خامنه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اى، العروه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الوثقى، تهران: الهدى.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12. حسين وحيد، العروة الوثقى، قم: مدرسه امام باقر(ع).</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13. محمدباقر مجلسى، بحارالانوار، تهران: دار الكتب الاسلاميه.</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14. سيد روح</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موسوى خمينى، تحريرالوسيله، ترجمه على اسلامى، قم: انتشارات اسلامى.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15. سيد روح</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موسوى خمينى، تعليقات على العروة، قم: انتشارات اسلامى.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16. سيد على سيستانى، تعليقات على العروة، قم: مكتبة فدك.</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17. ناصر مكارم شيرازى، تعليقات على العروة الوثقى، قم: مدرسه على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بن ابيطالب، 1413 ق.</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18. حسين فاضل لنكرانى، تعليقات على العروة الوثقى، قم: انتشارات اميرالعلم.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19. حسين نورى، تعليقات على العروة الوثقى، قم: مهدى موعود.</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20. سيد محمد تقى مدرسى، تفسير هدايت، انتشارات به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نشر.</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21. محمدتقى بهجت، توضيح المسائل، قم: شفق، 1379.</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22. لطف</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صافى گلپايگانى، توضيح المسائل، قم: 1418 ق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23. حسين نورى، توضيح المسائل، قم: مهدى موعود، 1380.</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24. حسين وحيد خراسانى، توضيح</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المسائل، قم: مدرسة الامام باقر العلوم، 1419ق.</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25. سيد محمدحسن بنى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هاشمى خمينى، توضيح</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المسائل مراجع، قم: دفتر انتشارات اسلامى.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26. لطف</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صافى، جامع الاحكام، قم: انتشارات حضرت معصومه(س).</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27. حسين فاضل، جامع</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المسائل، قم: اميرالعلم.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28. نعمان بن محمد التميمى المغربى، دعائم الاسلام، تحقيق آصف بن على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اصغر فيضى، بيروت: دار المعارف.</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29. تبريزى، صراط النجاة، قم: سلمان فارسى.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30. لطف</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صافى، عروه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العباد، قم: انتشارات حضرت معصومه(س).</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31. ابى</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فضل جمال</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الدين ابن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منظور الافريقى مصرى، لسان</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العرب، بيروت: دار الاحياء التراث العربى.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32. شيخ عباس قمى، مفاتيح</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الجنان، انتشارات پيام آزادى.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33. جواد تبريزى، منهاج</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الصالحين، قم: دارالاعتصام.</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lastRenderedPageBreak/>
        <w:t>34. سيد على سيستانى، منهاج الصالحين، قم: مكتبة فدك.</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35. حسين وحيد خراسانى، منهاج</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الصالحين، قم: انتشارات مدرسه امام باقر(ع).</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36. محمدبن حسن حرّ العاملى، وسائل الشيعه، چاپ آخوندى (بيست جلدى).</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37. محمد تقى بهجت، وسيلة النجاة، قم: شفق.</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38. لطف</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اللّه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 xml:space="preserve"> صافى، هدايه</w:t>
      </w:r>
      <w:r w:rsidRPr="005B4FA1">
        <w:rPr>
          <w:rFonts w:ascii="Cambria Math" w:eastAsia="Times New Roman" w:hAnsi="Cambria Math" w:cs="B Badr" w:hint="cs"/>
          <w:rtl/>
          <w:lang w:bidi="fa-IR"/>
        </w:rPr>
        <w:t> </w:t>
      </w:r>
      <w:r w:rsidRPr="005B4FA1">
        <w:rPr>
          <w:rFonts w:ascii="Tahoma" w:eastAsia="Times New Roman" w:hAnsi="Tahoma" w:cs="B Badr" w:hint="cs"/>
          <w:rtl/>
          <w:lang w:bidi="fa-IR"/>
        </w:rPr>
        <w:t>العباد، قم: مؤسسه انتشاراتى حضرت معصومه(س).</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xml:space="preserve">39. سيد على سيستانى، سايت: </w:t>
      </w:r>
      <w:r w:rsidRPr="005B4FA1">
        <w:rPr>
          <w:rFonts w:ascii="Tahoma" w:eastAsia="Times New Roman" w:hAnsi="Tahoma" w:cs="B Badr"/>
        </w:rPr>
        <w:t>www.sistani.org</w:t>
      </w:r>
      <w:r w:rsidRPr="005B4FA1">
        <w:rPr>
          <w:rFonts w:ascii="Tahoma" w:eastAsia="Times New Roman" w:hAnsi="Tahoma" w:cs="B Badr" w:hint="cs"/>
          <w:rtl/>
          <w:lang w:bidi="fa-IR"/>
        </w:rPr>
        <w:t>.</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ahoma" w:eastAsia="Times New Roman" w:hAnsi="Tahoma" w:cs="B Badr" w:hint="cs"/>
          <w:rtl/>
          <w:lang w:bidi="fa-IR"/>
        </w:rPr>
        <w:t> </w:t>
      </w:r>
    </w:p>
    <w:p w:rsidR="00C34D7E" w:rsidRPr="005B4FA1" w:rsidRDefault="00C34D7E" w:rsidP="00C34D7E">
      <w:pPr>
        <w:autoSpaceDE w:val="0"/>
        <w:autoSpaceDN w:val="0"/>
        <w:bidi/>
        <w:spacing w:after="0" w:line="300" w:lineRule="atLeast"/>
        <w:ind w:left="150"/>
        <w:rPr>
          <w:rFonts w:ascii="Times New Roman" w:eastAsia="Times New Roman" w:hAnsi="Times New Roman" w:cs="B Badr"/>
          <w:sz w:val="28"/>
          <w:szCs w:val="32"/>
          <w:rtl/>
        </w:rPr>
      </w:pPr>
      <w:r w:rsidRPr="005B4FA1">
        <w:rPr>
          <w:rFonts w:ascii="Times New Roman" w:eastAsia="Times New Roman" w:hAnsi="Times New Roman" w:cs="B Badr" w:hint="cs"/>
          <w:sz w:val="28"/>
          <w:szCs w:val="32"/>
          <w:rtl/>
        </w:rPr>
        <w:t> </w:t>
      </w:r>
    </w:p>
    <w:p w:rsidR="00C34D7E" w:rsidRPr="005B4FA1" w:rsidRDefault="005B4FA1" w:rsidP="00C34D7E">
      <w:pPr>
        <w:bidi/>
        <w:spacing w:after="0" w:line="240" w:lineRule="auto"/>
        <w:rPr>
          <w:rFonts w:ascii="Times New Roman" w:eastAsia="Times New Roman" w:hAnsi="Times New Roman" w:cs="B Badr"/>
          <w:sz w:val="28"/>
          <w:szCs w:val="32"/>
          <w:rtl/>
        </w:rPr>
      </w:pPr>
      <w:r w:rsidRPr="005B4FA1">
        <w:rPr>
          <w:rFonts w:ascii="Times New Roman" w:eastAsia="Times New Roman" w:hAnsi="Times New Roman" w:cs="B Badr"/>
          <w:sz w:val="28"/>
          <w:szCs w:val="32"/>
        </w:rPr>
        <w:pict>
          <v:rect id="_x0000_i1025" style="width:154.45pt;height:.75pt" o:hrpct="330" o:hralign="right" o:hrstd="t" o:hr="t" fillcolor="#aca899" stroked="f"/>
        </w:pict>
      </w:r>
    </w:p>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Pr>
      </w:pPr>
      <w:r w:rsidRPr="005B4FA1">
        <w:rPr>
          <w:rFonts w:ascii="Tahoma" w:eastAsia="Times New Roman" w:hAnsi="Tahoma" w:cs="B Badr"/>
          <w:b/>
          <w:bCs/>
          <w:color w:val="0000FF"/>
          <w:sz w:val="20"/>
          <w:szCs w:val="20"/>
          <w:rtl/>
        </w:rPr>
        <w:t>پی نوشت ها :</w:t>
      </w:r>
    </w:p>
    <w:bookmarkStart w:id="114" w:name="_ftn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w:t>
      </w:r>
      <w:r w:rsidRPr="005B4FA1">
        <w:rPr>
          <w:rFonts w:ascii="Tahoma" w:eastAsia="Times New Roman" w:hAnsi="Tahoma" w:cs="B Badr"/>
          <w:sz w:val="20"/>
          <w:szCs w:val="20"/>
          <w:rtl/>
        </w:rPr>
        <w:fldChar w:fldCharType="end"/>
      </w:r>
      <w:bookmarkEnd w:id="114"/>
      <w:r w:rsidRPr="005B4FA1">
        <w:rPr>
          <w:rFonts w:ascii="Tahoma" w:eastAsia="Times New Roman" w:hAnsi="Tahoma" w:cs="B Badr" w:hint="cs"/>
          <w:sz w:val="20"/>
          <w:szCs w:val="20"/>
          <w:rtl/>
          <w:lang w:bidi="fa-IR"/>
        </w:rPr>
        <w:t>. برگرفته از پيام سال 1385 آية اللّه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 xml:space="preserve"> جوادىدامت بركاته به دانشجويان معتكف.</w:t>
      </w:r>
    </w:p>
    <w:bookmarkStart w:id="115" w:name="_ftn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w:t>
      </w:r>
      <w:r w:rsidRPr="005B4FA1">
        <w:rPr>
          <w:rFonts w:ascii="Tahoma" w:eastAsia="Times New Roman" w:hAnsi="Tahoma" w:cs="B Badr"/>
          <w:sz w:val="20"/>
          <w:szCs w:val="20"/>
          <w:rtl/>
        </w:rPr>
        <w:fldChar w:fldCharType="end"/>
      </w:r>
      <w:bookmarkEnd w:id="115"/>
      <w:r w:rsidRPr="005B4FA1">
        <w:rPr>
          <w:rFonts w:ascii="Tahoma" w:eastAsia="Times New Roman" w:hAnsi="Tahoma" w:cs="B Badr" w:hint="cs"/>
          <w:sz w:val="20"/>
          <w:szCs w:val="20"/>
          <w:rtl/>
          <w:lang w:bidi="fa-IR"/>
        </w:rPr>
        <w:t>. لسان</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العرب، ماده عكف.</w:t>
      </w:r>
    </w:p>
    <w:bookmarkStart w:id="116" w:name="_ftn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w:t>
      </w:r>
      <w:r w:rsidRPr="005B4FA1">
        <w:rPr>
          <w:rFonts w:ascii="Tahoma" w:eastAsia="Times New Roman" w:hAnsi="Tahoma" w:cs="B Badr"/>
          <w:sz w:val="20"/>
          <w:szCs w:val="20"/>
          <w:rtl/>
        </w:rPr>
        <w:fldChar w:fldCharType="end"/>
      </w:r>
      <w:bookmarkEnd w:id="116"/>
      <w:r w:rsidRPr="005B4FA1">
        <w:rPr>
          <w:rFonts w:ascii="Tahoma" w:eastAsia="Times New Roman" w:hAnsi="Tahoma" w:cs="B Badr" w:hint="cs"/>
          <w:sz w:val="20"/>
          <w:szCs w:val="20"/>
          <w:rtl/>
          <w:lang w:bidi="fa-IR"/>
        </w:rPr>
        <w:t>. العروه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الوثقى، ج 2، كتاب الاعتكاف.</w:t>
      </w:r>
    </w:p>
    <w:bookmarkStart w:id="117" w:name="_ftn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w:t>
      </w:r>
      <w:r w:rsidRPr="005B4FA1">
        <w:rPr>
          <w:rFonts w:ascii="Tahoma" w:eastAsia="Times New Roman" w:hAnsi="Tahoma" w:cs="B Badr"/>
          <w:sz w:val="20"/>
          <w:szCs w:val="20"/>
          <w:rtl/>
        </w:rPr>
        <w:fldChar w:fldCharType="end"/>
      </w:r>
      <w:bookmarkEnd w:id="117"/>
      <w:r w:rsidRPr="005B4FA1">
        <w:rPr>
          <w:rFonts w:ascii="Tahoma" w:eastAsia="Times New Roman" w:hAnsi="Tahoma" w:cs="B Badr" w:hint="cs"/>
          <w:sz w:val="20"/>
          <w:szCs w:val="20"/>
          <w:rtl/>
          <w:lang w:bidi="fa-IR"/>
        </w:rPr>
        <w:t>. اين آيات عبارتند از: بقره، 187 و 125؛ اعراف، 138؛ طه، 91 و 97؛ انبيا، 52؛ حج، 25؛ شعرا، 71 و فتح، 25.</w:t>
      </w:r>
    </w:p>
    <w:bookmarkStart w:id="118" w:name="_ftn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w:t>
      </w:r>
      <w:r w:rsidRPr="005B4FA1">
        <w:rPr>
          <w:rFonts w:ascii="Tahoma" w:eastAsia="Times New Roman" w:hAnsi="Tahoma" w:cs="B Badr"/>
          <w:sz w:val="20"/>
          <w:szCs w:val="20"/>
          <w:rtl/>
        </w:rPr>
        <w:fldChar w:fldCharType="end"/>
      </w:r>
      <w:bookmarkEnd w:id="118"/>
      <w:r w:rsidRPr="005B4FA1">
        <w:rPr>
          <w:rFonts w:ascii="Tahoma" w:eastAsia="Times New Roman" w:hAnsi="Tahoma" w:cs="B Badr" w:hint="cs"/>
          <w:sz w:val="20"/>
          <w:szCs w:val="20"/>
          <w:rtl/>
          <w:lang w:bidi="fa-IR"/>
        </w:rPr>
        <w:t>. برخى از فقها مانند صاحب جواهر گفته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اند: اعتكاف در آيه 125 سوره بقره نيز در معناى اصطلاحى به كار رفته است. اعتكاف عبادتى كامل، ص 20، ابوالقاسم عليانژادى، به نقل از: جواهرالكلام، ج 17، ص 160.</w:t>
      </w:r>
    </w:p>
    <w:bookmarkStart w:id="119" w:name="_ftn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w:t>
      </w:r>
      <w:r w:rsidRPr="005B4FA1">
        <w:rPr>
          <w:rFonts w:ascii="Tahoma" w:eastAsia="Times New Roman" w:hAnsi="Tahoma" w:cs="B Badr"/>
          <w:sz w:val="20"/>
          <w:szCs w:val="20"/>
          <w:rtl/>
        </w:rPr>
        <w:fldChar w:fldCharType="end"/>
      </w:r>
      <w:bookmarkEnd w:id="119"/>
      <w:r w:rsidRPr="005B4FA1">
        <w:rPr>
          <w:rFonts w:ascii="Tahoma" w:eastAsia="Times New Roman" w:hAnsi="Tahoma" w:cs="B Badr" w:hint="cs"/>
          <w:sz w:val="20"/>
          <w:szCs w:val="20"/>
          <w:rtl/>
          <w:lang w:bidi="fa-IR"/>
        </w:rPr>
        <w:t>. بقره 2، آيه 187.</w:t>
      </w:r>
    </w:p>
    <w:bookmarkStart w:id="120" w:name="_ftn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w:t>
      </w:r>
      <w:r w:rsidRPr="005B4FA1">
        <w:rPr>
          <w:rFonts w:ascii="Tahoma" w:eastAsia="Times New Roman" w:hAnsi="Tahoma" w:cs="B Badr"/>
          <w:sz w:val="20"/>
          <w:szCs w:val="20"/>
          <w:rtl/>
        </w:rPr>
        <w:fldChar w:fldCharType="end"/>
      </w:r>
      <w:bookmarkEnd w:id="120"/>
      <w:r w:rsidRPr="005B4FA1">
        <w:rPr>
          <w:rFonts w:ascii="Tahoma" w:eastAsia="Times New Roman" w:hAnsi="Tahoma" w:cs="B Badr" w:hint="cs"/>
          <w:sz w:val="20"/>
          <w:szCs w:val="20"/>
          <w:rtl/>
          <w:lang w:bidi="fa-IR"/>
        </w:rPr>
        <w:t>. اعتكاف عبادتى كامل، ص 20، به نقل از: تفسير هدايت، ج 1، ص 319.</w:t>
      </w:r>
    </w:p>
    <w:bookmarkStart w:id="121" w:name="_ftn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w:t>
      </w:r>
      <w:r w:rsidRPr="005B4FA1">
        <w:rPr>
          <w:rFonts w:ascii="Tahoma" w:eastAsia="Times New Roman" w:hAnsi="Tahoma" w:cs="B Badr"/>
          <w:sz w:val="20"/>
          <w:szCs w:val="20"/>
          <w:rtl/>
        </w:rPr>
        <w:fldChar w:fldCharType="end"/>
      </w:r>
      <w:bookmarkEnd w:id="121"/>
      <w:r w:rsidRPr="005B4FA1">
        <w:rPr>
          <w:rFonts w:ascii="Tahoma" w:eastAsia="Times New Roman" w:hAnsi="Tahoma" w:cs="B Badr" w:hint="cs"/>
          <w:sz w:val="20"/>
          <w:szCs w:val="20"/>
          <w:rtl/>
          <w:lang w:bidi="fa-IR"/>
        </w:rPr>
        <w:t>. بقره 2، آيه 125.</w:t>
      </w:r>
    </w:p>
    <w:bookmarkStart w:id="122" w:name="_ftn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w:t>
      </w:r>
      <w:r w:rsidRPr="005B4FA1">
        <w:rPr>
          <w:rFonts w:ascii="Tahoma" w:eastAsia="Times New Roman" w:hAnsi="Tahoma" w:cs="B Badr"/>
          <w:sz w:val="20"/>
          <w:szCs w:val="20"/>
          <w:rtl/>
        </w:rPr>
        <w:fldChar w:fldCharType="end"/>
      </w:r>
      <w:bookmarkEnd w:id="122"/>
      <w:r w:rsidRPr="005B4FA1">
        <w:rPr>
          <w:rFonts w:ascii="Tahoma" w:eastAsia="Times New Roman" w:hAnsi="Tahoma" w:cs="B Badr" w:hint="cs"/>
          <w:sz w:val="20"/>
          <w:szCs w:val="20"/>
          <w:rtl/>
          <w:lang w:bidi="fa-IR"/>
        </w:rPr>
        <w:t>. «اعتكافُ عشرٍ فِى شَهْرِ رَمَضان يَعْدُلُ حَجَّتَيْنِ وَ عُمْرَتَيْنِ»، وسائل الشيعه، ج 10، ابواب الاعتكاف ؛ اللمعه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الدمشقيه، كتاب الاعتكاف.</w:t>
      </w:r>
    </w:p>
    <w:bookmarkStart w:id="123" w:name="_ftn1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w:t>
      </w:r>
      <w:r w:rsidRPr="005B4FA1">
        <w:rPr>
          <w:rFonts w:ascii="Tahoma" w:eastAsia="Times New Roman" w:hAnsi="Tahoma" w:cs="B Badr"/>
          <w:sz w:val="20"/>
          <w:szCs w:val="20"/>
          <w:rtl/>
        </w:rPr>
        <w:fldChar w:fldCharType="end"/>
      </w:r>
      <w:bookmarkEnd w:id="123"/>
      <w:r w:rsidRPr="005B4FA1">
        <w:rPr>
          <w:rFonts w:ascii="Tahoma" w:eastAsia="Times New Roman" w:hAnsi="Tahoma" w:cs="B Badr" w:hint="cs"/>
          <w:sz w:val="20"/>
          <w:szCs w:val="20"/>
          <w:rtl/>
          <w:lang w:bidi="fa-IR"/>
        </w:rPr>
        <w:t>. بحارالانوار، ج 94، ص 129.</w:t>
      </w:r>
    </w:p>
    <w:bookmarkStart w:id="124" w:name="_ftn1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[11]</w:t>
      </w:r>
      <w:r w:rsidRPr="005B4FA1">
        <w:rPr>
          <w:rFonts w:ascii="Tahoma" w:eastAsia="Times New Roman" w:hAnsi="Tahoma" w:cs="B Badr"/>
          <w:sz w:val="20"/>
          <w:szCs w:val="20"/>
          <w:rtl/>
        </w:rPr>
        <w:fldChar w:fldCharType="end"/>
      </w:r>
      <w:bookmarkEnd w:id="124"/>
      <w:r w:rsidRPr="005B4FA1">
        <w:rPr>
          <w:rFonts w:ascii="Tahoma" w:eastAsia="Times New Roman" w:hAnsi="Tahoma" w:cs="B Badr" w:hint="cs"/>
          <w:sz w:val="20"/>
          <w:szCs w:val="20"/>
          <w:rtl/>
          <w:lang w:bidi="fa-IR"/>
        </w:rPr>
        <w:t>. همان، ج 47، ص 53.</w:t>
      </w:r>
    </w:p>
    <w:bookmarkStart w:id="125" w:name="_ftn1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[12]</w:t>
      </w:r>
      <w:r w:rsidRPr="005B4FA1">
        <w:rPr>
          <w:rFonts w:ascii="Tahoma" w:eastAsia="Times New Roman" w:hAnsi="Tahoma" w:cs="B Badr"/>
          <w:sz w:val="20"/>
          <w:szCs w:val="20"/>
          <w:rtl/>
        </w:rPr>
        <w:fldChar w:fldCharType="end"/>
      </w:r>
      <w:bookmarkEnd w:id="125"/>
      <w:r w:rsidRPr="005B4FA1">
        <w:rPr>
          <w:rFonts w:ascii="Tahoma" w:eastAsia="Times New Roman" w:hAnsi="Tahoma" w:cs="B Badr" w:hint="cs"/>
          <w:sz w:val="20"/>
          <w:szCs w:val="20"/>
          <w:rtl/>
          <w:lang w:bidi="fa-IR"/>
        </w:rPr>
        <w:t>. اعتكاف سلوك منتظران، زير نظر حضرت آيه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 xml:space="preserve"> مظاهرى، ص 19.</w:t>
      </w:r>
    </w:p>
    <w:bookmarkStart w:id="126" w:name="_ftn1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[13]</w:t>
      </w:r>
      <w:r w:rsidRPr="005B4FA1">
        <w:rPr>
          <w:rFonts w:ascii="Tahoma" w:eastAsia="Times New Roman" w:hAnsi="Tahoma" w:cs="B Badr"/>
          <w:sz w:val="20"/>
          <w:szCs w:val="20"/>
          <w:rtl/>
        </w:rPr>
        <w:fldChar w:fldCharType="end"/>
      </w:r>
      <w:bookmarkEnd w:id="126"/>
      <w:r w:rsidRPr="005B4FA1">
        <w:rPr>
          <w:rFonts w:ascii="Tahoma" w:eastAsia="Times New Roman" w:hAnsi="Tahoma" w:cs="B Badr" w:hint="cs"/>
          <w:sz w:val="20"/>
          <w:szCs w:val="20"/>
          <w:rtl/>
          <w:lang w:bidi="fa-IR"/>
        </w:rPr>
        <w:t>. ر.ك: وسايل الشيعه، ج 10، ابواب الاعتكاف، باب 12.</w:t>
      </w:r>
    </w:p>
    <w:bookmarkStart w:id="127" w:name="_ftn1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[14]</w:t>
      </w:r>
      <w:r w:rsidRPr="005B4FA1">
        <w:rPr>
          <w:rFonts w:ascii="Tahoma" w:eastAsia="Times New Roman" w:hAnsi="Tahoma" w:cs="B Badr"/>
          <w:sz w:val="20"/>
          <w:szCs w:val="20"/>
          <w:rtl/>
        </w:rPr>
        <w:fldChar w:fldCharType="end"/>
      </w:r>
      <w:bookmarkEnd w:id="127"/>
      <w:r w:rsidRPr="005B4FA1">
        <w:rPr>
          <w:rFonts w:ascii="Tahoma" w:eastAsia="Times New Roman" w:hAnsi="Tahoma" w:cs="B Badr" w:hint="cs"/>
          <w:sz w:val="20"/>
          <w:szCs w:val="20"/>
          <w:rtl/>
          <w:lang w:bidi="fa-IR"/>
        </w:rPr>
        <w:t>. اعتكاف عبادتى كامل، ص 65.</w:t>
      </w:r>
    </w:p>
    <w:bookmarkStart w:id="128" w:name="_ftn1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[15]</w:t>
      </w:r>
      <w:r w:rsidRPr="005B4FA1">
        <w:rPr>
          <w:rFonts w:ascii="Tahoma" w:eastAsia="Times New Roman" w:hAnsi="Tahoma" w:cs="B Badr"/>
          <w:sz w:val="20"/>
          <w:szCs w:val="20"/>
          <w:rtl/>
        </w:rPr>
        <w:fldChar w:fldCharType="end"/>
      </w:r>
      <w:bookmarkEnd w:id="128"/>
      <w:r w:rsidRPr="005B4FA1">
        <w:rPr>
          <w:rFonts w:ascii="Tahoma" w:eastAsia="Times New Roman" w:hAnsi="Tahoma" w:cs="B Badr" w:hint="cs"/>
          <w:sz w:val="20"/>
          <w:szCs w:val="20"/>
          <w:rtl/>
          <w:lang w:bidi="fa-IR"/>
        </w:rPr>
        <w:t>. ر.ك: دعائم الاسلام، ج 1، ص 206.</w:t>
      </w:r>
    </w:p>
    <w:bookmarkStart w:id="129" w:name="_ftn1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[16]</w:t>
      </w:r>
      <w:r w:rsidRPr="005B4FA1">
        <w:rPr>
          <w:rFonts w:ascii="Tahoma" w:eastAsia="Times New Roman" w:hAnsi="Tahoma" w:cs="B Badr"/>
          <w:sz w:val="20"/>
          <w:szCs w:val="20"/>
          <w:rtl/>
        </w:rPr>
        <w:fldChar w:fldCharType="end"/>
      </w:r>
      <w:bookmarkEnd w:id="129"/>
      <w:r w:rsidRPr="005B4FA1">
        <w:rPr>
          <w:rFonts w:ascii="Tahoma" w:eastAsia="Times New Roman" w:hAnsi="Tahoma" w:cs="B Badr" w:hint="cs"/>
          <w:sz w:val="20"/>
          <w:szCs w:val="20"/>
          <w:rtl/>
          <w:lang w:bidi="fa-IR"/>
        </w:rPr>
        <w:t>. «يا اَباذَر! كُلُّ جُلُوسِ فِى الْمَسْجِدِ لَغْوٌ اِلاّ ثلاثٌ، قِرائَةُ مُصْحَفٍ، اَوْ ذِكْرُ اللّه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 xml:space="preserve"> اَوْ سائِلٍ عن عِلْمٍٍ»، وسايل</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الشيعه، ج 4، باب 2، ص 117.</w:t>
      </w:r>
    </w:p>
    <w:bookmarkStart w:id="130" w:name="_ftn1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[17]</w:t>
      </w:r>
      <w:r w:rsidRPr="005B4FA1">
        <w:rPr>
          <w:rFonts w:ascii="Tahoma" w:eastAsia="Times New Roman" w:hAnsi="Tahoma" w:cs="B Badr"/>
          <w:sz w:val="20"/>
          <w:szCs w:val="20"/>
          <w:rtl/>
        </w:rPr>
        <w:fldChar w:fldCharType="end"/>
      </w:r>
      <w:bookmarkEnd w:id="130"/>
      <w:r w:rsidRPr="005B4FA1">
        <w:rPr>
          <w:rFonts w:ascii="Tahoma" w:eastAsia="Times New Roman" w:hAnsi="Tahoma" w:cs="B Badr" w:hint="cs"/>
          <w:sz w:val="20"/>
          <w:szCs w:val="20"/>
          <w:rtl/>
          <w:lang w:bidi="fa-IR"/>
        </w:rPr>
        <w:t>. العروة الوثقى، ج 2، الاعتكاف.</w:t>
      </w:r>
    </w:p>
    <w:bookmarkStart w:id="131" w:name="_ftn1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[18]</w:t>
      </w:r>
      <w:r w:rsidRPr="005B4FA1">
        <w:rPr>
          <w:rFonts w:ascii="Tahoma" w:eastAsia="Times New Roman" w:hAnsi="Tahoma" w:cs="B Badr"/>
          <w:sz w:val="20"/>
          <w:szCs w:val="20"/>
          <w:rtl/>
        </w:rPr>
        <w:fldChar w:fldCharType="end"/>
      </w:r>
      <w:bookmarkEnd w:id="131"/>
      <w:r w:rsidRPr="005B4FA1">
        <w:rPr>
          <w:rFonts w:ascii="Tahoma" w:eastAsia="Times New Roman" w:hAnsi="Tahoma" w:cs="B Badr" w:hint="cs"/>
          <w:sz w:val="20"/>
          <w:szCs w:val="20"/>
          <w:rtl/>
          <w:lang w:bidi="fa-IR"/>
        </w:rPr>
        <w:t>. العروة الوثقى، ج 2، الاعتكاف.</w:t>
      </w:r>
    </w:p>
    <w:bookmarkStart w:id="132" w:name="_ftn1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[19]</w:t>
      </w:r>
      <w:r w:rsidRPr="005B4FA1">
        <w:rPr>
          <w:rFonts w:ascii="Tahoma" w:eastAsia="Times New Roman" w:hAnsi="Tahoma" w:cs="B Badr"/>
          <w:sz w:val="20"/>
          <w:szCs w:val="20"/>
          <w:rtl/>
        </w:rPr>
        <w:fldChar w:fldCharType="end"/>
      </w:r>
      <w:bookmarkEnd w:id="132"/>
      <w:r w:rsidRPr="005B4FA1">
        <w:rPr>
          <w:rFonts w:ascii="Tahoma" w:eastAsia="Times New Roman" w:hAnsi="Tahoma" w:cs="B Badr" w:hint="cs"/>
          <w:sz w:val="20"/>
          <w:szCs w:val="20"/>
          <w:rtl/>
          <w:lang w:bidi="fa-IR"/>
        </w:rPr>
        <w:t>. مساجد چهار گانه عبارت است از: مسجد الحرام، مسجد نبوى مدينه، مسجد كوفه و مسجد بصره.</w:t>
      </w:r>
    </w:p>
    <w:bookmarkStart w:id="133" w:name="_ftn2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[20]</w:t>
      </w:r>
      <w:r w:rsidRPr="005B4FA1">
        <w:rPr>
          <w:rFonts w:ascii="Tahoma" w:eastAsia="Times New Roman" w:hAnsi="Tahoma" w:cs="B Badr"/>
          <w:sz w:val="20"/>
          <w:szCs w:val="20"/>
          <w:rtl/>
        </w:rPr>
        <w:fldChar w:fldCharType="end"/>
      </w:r>
      <w:bookmarkEnd w:id="133"/>
      <w:r w:rsidRPr="005B4FA1">
        <w:rPr>
          <w:rFonts w:ascii="Tahoma" w:eastAsia="Times New Roman" w:hAnsi="Tahoma" w:cs="B Badr" w:hint="cs"/>
          <w:sz w:val="20"/>
          <w:szCs w:val="20"/>
          <w:rtl/>
          <w:lang w:bidi="fa-IR"/>
        </w:rPr>
        <w:t>. العروة الوثقى، ج 2، الخامس.</w:t>
      </w:r>
    </w:p>
    <w:bookmarkStart w:id="134" w:name="_ftn2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[21]</w:t>
      </w:r>
      <w:r w:rsidRPr="005B4FA1">
        <w:rPr>
          <w:rFonts w:ascii="Tahoma" w:eastAsia="Times New Roman" w:hAnsi="Tahoma" w:cs="B Badr"/>
          <w:sz w:val="20"/>
          <w:szCs w:val="20"/>
          <w:rtl/>
        </w:rPr>
        <w:fldChar w:fldCharType="end"/>
      </w:r>
      <w:bookmarkEnd w:id="134"/>
      <w:r w:rsidRPr="005B4FA1">
        <w:rPr>
          <w:rFonts w:ascii="Tahoma" w:eastAsia="Times New Roman" w:hAnsi="Tahoma" w:cs="B Badr" w:hint="cs"/>
          <w:sz w:val="20"/>
          <w:szCs w:val="20"/>
          <w:rtl/>
          <w:lang w:bidi="fa-IR"/>
        </w:rPr>
        <w:t>. العروة الوثقى، ج 2، الاعتكاف، الخامس.</w:t>
      </w:r>
    </w:p>
    <w:bookmarkStart w:id="135" w:name="_ftn2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lastRenderedPageBreak/>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[22]</w:t>
      </w:r>
      <w:r w:rsidRPr="005B4FA1">
        <w:rPr>
          <w:rFonts w:ascii="Tahoma" w:eastAsia="Times New Roman" w:hAnsi="Tahoma" w:cs="B Badr"/>
          <w:sz w:val="20"/>
          <w:szCs w:val="20"/>
          <w:rtl/>
        </w:rPr>
        <w:fldChar w:fldCharType="end"/>
      </w:r>
      <w:bookmarkEnd w:id="135"/>
      <w:r w:rsidRPr="005B4FA1">
        <w:rPr>
          <w:rFonts w:ascii="Tahoma" w:eastAsia="Times New Roman" w:hAnsi="Tahoma" w:cs="B Badr" w:hint="cs"/>
          <w:sz w:val="20"/>
          <w:szCs w:val="20"/>
          <w:rtl/>
          <w:lang w:bidi="fa-IR"/>
        </w:rPr>
        <w:t>. العروة الوثقى، كتاب الاعتكاف، م 4.</w:t>
      </w:r>
    </w:p>
    <w:bookmarkStart w:id="136" w:name="_ftn2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[23]</w:t>
      </w:r>
      <w:r w:rsidRPr="005B4FA1">
        <w:rPr>
          <w:rFonts w:ascii="Tahoma" w:eastAsia="Times New Roman" w:hAnsi="Tahoma" w:cs="B Badr"/>
          <w:sz w:val="20"/>
          <w:szCs w:val="20"/>
          <w:rtl/>
        </w:rPr>
        <w:fldChar w:fldCharType="end"/>
      </w:r>
      <w:bookmarkEnd w:id="136"/>
      <w:r w:rsidRPr="005B4FA1">
        <w:rPr>
          <w:rFonts w:ascii="Tahoma" w:eastAsia="Times New Roman" w:hAnsi="Tahoma" w:cs="B Badr" w:hint="cs"/>
          <w:sz w:val="20"/>
          <w:szCs w:val="20"/>
          <w:rtl/>
          <w:lang w:bidi="fa-IR"/>
        </w:rPr>
        <w:t>. العروة الوثقى، كتاب الاعتكاف، م 4.</w:t>
      </w:r>
    </w:p>
    <w:bookmarkStart w:id="137" w:name="_ftn2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[24]</w:t>
      </w:r>
      <w:r w:rsidRPr="005B4FA1">
        <w:rPr>
          <w:rFonts w:ascii="Tahoma" w:eastAsia="Times New Roman" w:hAnsi="Tahoma" w:cs="B Badr"/>
          <w:sz w:val="20"/>
          <w:szCs w:val="20"/>
          <w:rtl/>
        </w:rPr>
        <w:fldChar w:fldCharType="end"/>
      </w:r>
      <w:bookmarkEnd w:id="137"/>
      <w:r w:rsidRPr="005B4FA1">
        <w:rPr>
          <w:rFonts w:ascii="Tahoma" w:eastAsia="Times New Roman" w:hAnsi="Tahoma" w:cs="B Badr" w:hint="cs"/>
          <w:sz w:val="20"/>
          <w:szCs w:val="20"/>
          <w:rtl/>
          <w:lang w:bidi="fa-IR"/>
        </w:rPr>
        <w:t>. العروة الوثقى، كتاب الاعتكاف، م 4.</w:t>
      </w:r>
    </w:p>
    <w:bookmarkStart w:id="138" w:name="_ftn2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[25]</w:t>
      </w:r>
      <w:r w:rsidRPr="005B4FA1">
        <w:rPr>
          <w:rFonts w:ascii="Tahoma" w:eastAsia="Times New Roman" w:hAnsi="Tahoma" w:cs="B Badr"/>
          <w:sz w:val="20"/>
          <w:szCs w:val="20"/>
          <w:rtl/>
        </w:rPr>
        <w:fldChar w:fldCharType="end"/>
      </w:r>
      <w:bookmarkEnd w:id="138"/>
      <w:r w:rsidRPr="005B4FA1">
        <w:rPr>
          <w:rFonts w:ascii="Tahoma" w:eastAsia="Times New Roman" w:hAnsi="Tahoma" w:cs="B Badr" w:hint="cs"/>
          <w:sz w:val="20"/>
          <w:szCs w:val="20"/>
          <w:rtl/>
          <w:lang w:bidi="fa-IR"/>
        </w:rPr>
        <w:t>. العروة الوثقى، ج 2، الاعتكاف، الخامس.</w:t>
      </w:r>
    </w:p>
    <w:bookmarkStart w:id="139" w:name="_ftn2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[26]</w:t>
      </w:r>
      <w:r w:rsidRPr="005B4FA1">
        <w:rPr>
          <w:rFonts w:ascii="Tahoma" w:eastAsia="Times New Roman" w:hAnsi="Tahoma" w:cs="B Badr"/>
          <w:sz w:val="20"/>
          <w:szCs w:val="20"/>
          <w:rtl/>
        </w:rPr>
        <w:fldChar w:fldCharType="end"/>
      </w:r>
      <w:bookmarkEnd w:id="139"/>
      <w:r w:rsidRPr="005B4FA1">
        <w:rPr>
          <w:rFonts w:ascii="Tahoma" w:eastAsia="Times New Roman" w:hAnsi="Tahoma" w:cs="B Badr" w:hint="cs"/>
          <w:sz w:val="20"/>
          <w:szCs w:val="20"/>
          <w:rtl/>
          <w:lang w:bidi="fa-IR"/>
        </w:rPr>
        <w:t>. امام، سيستانى، مكارم، فاضل و نورى، العروة الوثقى، ج 2 الاعتكاف، م 27؛ بهجت، استفتائات، ج 2، س3165؛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1404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تبريزى و سيستانى.</w:t>
      </w:r>
    </w:p>
    <w:bookmarkStart w:id="140" w:name="_ftn2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[27]</w:t>
      </w:r>
      <w:r w:rsidRPr="005B4FA1">
        <w:rPr>
          <w:rFonts w:ascii="Tahoma" w:eastAsia="Times New Roman" w:hAnsi="Tahoma" w:cs="B Badr"/>
          <w:sz w:val="20"/>
          <w:szCs w:val="20"/>
          <w:rtl/>
        </w:rPr>
        <w:fldChar w:fldCharType="end"/>
      </w:r>
      <w:bookmarkEnd w:id="140"/>
      <w:r w:rsidRPr="005B4FA1">
        <w:rPr>
          <w:rFonts w:ascii="Tahoma" w:eastAsia="Times New Roman" w:hAnsi="Tahoma" w:cs="B Badr" w:hint="cs"/>
          <w:sz w:val="20"/>
          <w:szCs w:val="20"/>
          <w:rtl/>
          <w:lang w:bidi="fa-IR"/>
        </w:rPr>
        <w:t>. دفتر: همه مراجع.</w:t>
      </w:r>
    </w:p>
    <w:bookmarkStart w:id="141" w:name="_ftn2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[28]</w:t>
      </w:r>
      <w:r w:rsidRPr="005B4FA1">
        <w:rPr>
          <w:rFonts w:ascii="Tahoma" w:eastAsia="Times New Roman" w:hAnsi="Tahoma" w:cs="B Badr"/>
          <w:sz w:val="20"/>
          <w:szCs w:val="20"/>
          <w:rtl/>
        </w:rPr>
        <w:fldChar w:fldCharType="end"/>
      </w:r>
      <w:bookmarkEnd w:id="141"/>
      <w:r w:rsidRPr="005B4FA1">
        <w:rPr>
          <w:rFonts w:ascii="Tahoma" w:eastAsia="Times New Roman" w:hAnsi="Tahoma" w:cs="B Badr" w:hint="cs"/>
          <w:sz w:val="20"/>
          <w:szCs w:val="20"/>
          <w:rtl/>
          <w:lang w:bidi="fa-IR"/>
        </w:rPr>
        <w:t>. امام، سيستانى، فاضل، مكارم و نورى، تعليقات على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العروة، ج 2، الاعتكاف؛ بهجت، وسيله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النجاة، ج 1، الاعتكاف، م 1187؛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1400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تبريزى و وحيد.</w:t>
      </w:r>
    </w:p>
    <w:bookmarkStart w:id="142" w:name="_ftn2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"_ftnref29"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[29]</w:t>
      </w:r>
      <w:r w:rsidRPr="005B4FA1">
        <w:rPr>
          <w:rFonts w:ascii="Tahoma" w:eastAsia="Times New Roman" w:hAnsi="Tahoma" w:cs="B Badr"/>
          <w:sz w:val="20"/>
          <w:szCs w:val="20"/>
          <w:rtl/>
        </w:rPr>
        <w:fldChar w:fldCharType="end"/>
      </w:r>
      <w:bookmarkEnd w:id="142"/>
      <w:r w:rsidRPr="005B4FA1">
        <w:rPr>
          <w:rFonts w:ascii="Tahoma" w:eastAsia="Times New Roman" w:hAnsi="Tahoma" w:cs="B Badr" w:hint="cs"/>
          <w:sz w:val="20"/>
          <w:szCs w:val="20"/>
          <w:rtl/>
          <w:lang w:bidi="fa-IR"/>
        </w:rPr>
        <w:t>. العروة الوثقى، ج 2، الاعتكاف، م 3.</w:t>
      </w:r>
    </w:p>
    <w:bookmarkStart w:id="143" w:name="_ftn3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[30]</w:t>
      </w:r>
      <w:r w:rsidRPr="005B4FA1">
        <w:rPr>
          <w:rFonts w:ascii="Tahoma" w:eastAsia="Times New Roman" w:hAnsi="Tahoma" w:cs="B Badr"/>
          <w:sz w:val="20"/>
          <w:szCs w:val="20"/>
          <w:rtl/>
        </w:rPr>
        <w:fldChar w:fldCharType="end"/>
      </w:r>
      <w:bookmarkEnd w:id="143"/>
      <w:r w:rsidRPr="005B4FA1">
        <w:rPr>
          <w:rFonts w:ascii="Tahoma" w:eastAsia="Times New Roman" w:hAnsi="Tahoma" w:cs="B Badr" w:hint="cs"/>
          <w:sz w:val="20"/>
          <w:szCs w:val="20"/>
          <w:rtl/>
          <w:lang w:bidi="fa-IR"/>
        </w:rPr>
        <w:t>. امام، نورى، سيستانى، مكارم و فاضل، تعليقات على العروة، ج2، الاعتكاف؛ بهجت، استفتائات، ج 2، ص3125 و دفتر: همه مراجع.</w:t>
      </w:r>
    </w:p>
    <w:bookmarkStart w:id="144" w:name="_ftn3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[31]</w:t>
      </w:r>
      <w:r w:rsidRPr="005B4FA1">
        <w:rPr>
          <w:rFonts w:ascii="Tahoma" w:eastAsia="Times New Roman" w:hAnsi="Tahoma" w:cs="B Badr"/>
          <w:sz w:val="20"/>
          <w:szCs w:val="20"/>
          <w:rtl/>
        </w:rPr>
        <w:fldChar w:fldCharType="end"/>
      </w:r>
      <w:bookmarkEnd w:id="144"/>
      <w:r w:rsidRPr="005B4FA1">
        <w:rPr>
          <w:rFonts w:ascii="Tahoma" w:eastAsia="Times New Roman" w:hAnsi="Tahoma" w:cs="B Badr" w:hint="cs"/>
          <w:sz w:val="20"/>
          <w:szCs w:val="20"/>
          <w:rtl/>
          <w:lang w:bidi="fa-IR"/>
        </w:rPr>
        <w:t>. امام، نورى و فاضل، تعليقات على العروة، ج 2، شرايط صحة الصوم، الخامس ؛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م1354؛ تبريزى،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شرايط صحة الصوم؛ بهجت، وسيلة النجاة، ج 1، م1143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145" w:name="_ftn3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[32]</w:t>
      </w:r>
      <w:r w:rsidRPr="005B4FA1">
        <w:rPr>
          <w:rFonts w:ascii="Tahoma" w:eastAsia="Times New Roman" w:hAnsi="Tahoma" w:cs="B Badr"/>
          <w:sz w:val="20"/>
          <w:szCs w:val="20"/>
          <w:rtl/>
        </w:rPr>
        <w:fldChar w:fldCharType="end"/>
      </w:r>
      <w:bookmarkEnd w:id="145"/>
      <w:r w:rsidRPr="005B4FA1">
        <w:rPr>
          <w:rFonts w:ascii="Tahoma" w:eastAsia="Times New Roman" w:hAnsi="Tahoma" w:cs="B Badr" w:hint="cs"/>
          <w:sz w:val="20"/>
          <w:szCs w:val="20"/>
          <w:rtl/>
          <w:lang w:bidi="fa-IR"/>
        </w:rPr>
        <w:t>. دفتر: امام، صافى، تبريزى، فاضل و وحيد.</w:t>
      </w:r>
    </w:p>
    <w:bookmarkStart w:id="146" w:name="_ftn3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[33]</w:t>
      </w:r>
      <w:r w:rsidRPr="005B4FA1">
        <w:rPr>
          <w:rFonts w:ascii="Tahoma" w:eastAsia="Times New Roman" w:hAnsi="Tahoma" w:cs="B Badr"/>
          <w:sz w:val="20"/>
          <w:szCs w:val="20"/>
          <w:rtl/>
        </w:rPr>
        <w:fldChar w:fldCharType="end"/>
      </w:r>
      <w:bookmarkEnd w:id="146"/>
      <w:r w:rsidRPr="005B4FA1">
        <w:rPr>
          <w:rFonts w:ascii="Tahoma" w:eastAsia="Times New Roman" w:hAnsi="Tahoma" w:cs="B Badr" w:hint="cs"/>
          <w:sz w:val="20"/>
          <w:szCs w:val="20"/>
          <w:rtl/>
          <w:lang w:bidi="fa-IR"/>
        </w:rPr>
        <w:t>.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بهجت و سيستانى.</w:t>
      </w:r>
    </w:p>
    <w:bookmarkStart w:id="147" w:name="_ftn3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[34]</w:t>
      </w:r>
      <w:r w:rsidRPr="005B4FA1">
        <w:rPr>
          <w:rFonts w:ascii="Tahoma" w:eastAsia="Times New Roman" w:hAnsi="Tahoma" w:cs="B Badr"/>
          <w:sz w:val="20"/>
          <w:szCs w:val="20"/>
          <w:rtl/>
        </w:rPr>
        <w:fldChar w:fldCharType="end"/>
      </w:r>
      <w:bookmarkEnd w:id="147"/>
      <w:r w:rsidRPr="005B4FA1">
        <w:rPr>
          <w:rFonts w:ascii="Tahoma" w:eastAsia="Times New Roman" w:hAnsi="Tahoma" w:cs="B Badr" w:hint="cs"/>
          <w:sz w:val="20"/>
          <w:szCs w:val="20"/>
          <w:rtl/>
          <w:lang w:bidi="fa-IR"/>
        </w:rPr>
        <w:t>. مكارم، استفتائات، ج 2، س 475 و 482.</w:t>
      </w:r>
    </w:p>
    <w:bookmarkStart w:id="148" w:name="_ftn3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[35]</w:t>
      </w:r>
      <w:r w:rsidRPr="005B4FA1">
        <w:rPr>
          <w:rFonts w:ascii="Tahoma" w:eastAsia="Times New Roman" w:hAnsi="Tahoma" w:cs="B Badr"/>
          <w:sz w:val="20"/>
          <w:szCs w:val="20"/>
          <w:rtl/>
        </w:rPr>
        <w:fldChar w:fldCharType="end"/>
      </w:r>
      <w:bookmarkEnd w:id="148"/>
      <w:r w:rsidRPr="005B4FA1">
        <w:rPr>
          <w:rFonts w:ascii="Tahoma" w:eastAsia="Times New Roman" w:hAnsi="Tahoma" w:cs="B Badr" w:hint="cs"/>
          <w:sz w:val="20"/>
          <w:szCs w:val="20"/>
          <w:rtl/>
          <w:lang w:bidi="fa-IR"/>
        </w:rPr>
        <w:t>.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مراجع، م 2641؛ وحيد،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2705؛ نورى،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2639 و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استفتاء، س 1060 و 1100.</w:t>
      </w:r>
    </w:p>
    <w:bookmarkStart w:id="149" w:name="_ftn3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[36]</w:t>
      </w:r>
      <w:r w:rsidRPr="005B4FA1">
        <w:rPr>
          <w:rFonts w:ascii="Tahoma" w:eastAsia="Times New Roman" w:hAnsi="Tahoma" w:cs="B Badr"/>
          <w:sz w:val="20"/>
          <w:szCs w:val="20"/>
          <w:rtl/>
        </w:rPr>
        <w:fldChar w:fldCharType="end"/>
      </w:r>
      <w:bookmarkEnd w:id="149"/>
      <w:r w:rsidRPr="005B4FA1">
        <w:rPr>
          <w:rFonts w:ascii="Tahoma" w:eastAsia="Times New Roman" w:hAnsi="Tahoma" w:cs="B Badr" w:hint="cs"/>
          <w:sz w:val="20"/>
          <w:szCs w:val="20"/>
          <w:rtl/>
          <w:lang w:bidi="fa-IR"/>
        </w:rPr>
        <w:t>. امام، تحريرالوسيله، ج 2، النذر، م 24؛ تبريزى، استفتائات، س 1729؛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2، النذر، م 24؛ سيستانى،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مراجع، م 2647 ؛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استفتاء، س 1074 و دفتر: فاضل، نورى، مكارم، وحيد و بهجت.</w:t>
      </w:r>
    </w:p>
    <w:bookmarkStart w:id="150" w:name="_ftn3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[37]</w:t>
      </w:r>
      <w:r w:rsidRPr="005B4FA1">
        <w:rPr>
          <w:rFonts w:ascii="Tahoma" w:eastAsia="Times New Roman" w:hAnsi="Tahoma" w:cs="B Badr"/>
          <w:sz w:val="20"/>
          <w:szCs w:val="20"/>
          <w:rtl/>
        </w:rPr>
        <w:fldChar w:fldCharType="end"/>
      </w:r>
      <w:bookmarkEnd w:id="150"/>
      <w:r w:rsidRPr="005B4FA1">
        <w:rPr>
          <w:rFonts w:ascii="Tahoma" w:eastAsia="Times New Roman" w:hAnsi="Tahoma" w:cs="B Badr" w:hint="cs"/>
          <w:sz w:val="20"/>
          <w:szCs w:val="20"/>
          <w:rtl/>
          <w:lang w:bidi="fa-IR"/>
        </w:rPr>
        <w:t>. العروة الوثقى، ج 2، الاعتكاف، م شروط الاعتكاف، الرابع و م 19 و احكام الاعتكاف م 5 و 9.</w:t>
      </w:r>
    </w:p>
    <w:bookmarkStart w:id="151" w:name="_ftn3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[38]</w:t>
      </w:r>
      <w:r w:rsidRPr="005B4FA1">
        <w:rPr>
          <w:rFonts w:ascii="Tahoma" w:eastAsia="Times New Roman" w:hAnsi="Tahoma" w:cs="B Badr"/>
          <w:sz w:val="20"/>
          <w:szCs w:val="20"/>
          <w:rtl/>
        </w:rPr>
        <w:fldChar w:fldCharType="end"/>
      </w:r>
      <w:bookmarkEnd w:id="151"/>
      <w:r w:rsidRPr="005B4FA1">
        <w:rPr>
          <w:rFonts w:ascii="Tahoma" w:eastAsia="Times New Roman" w:hAnsi="Tahoma" w:cs="B Badr" w:hint="cs"/>
          <w:sz w:val="20"/>
          <w:szCs w:val="20"/>
          <w:rtl/>
          <w:lang w:bidi="fa-IR"/>
        </w:rPr>
        <w:t>. امام، نورى، فاضل، مكارم، تعليقات على العروة، ج 1، احكام الاعتكاف، م 5؛ بهجت، وسيلة النجاة، ج 1، 1210؛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1424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152" w:name="_ftn3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"_ftnref39"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[39]</w:t>
      </w:r>
      <w:r w:rsidRPr="005B4FA1">
        <w:rPr>
          <w:rFonts w:ascii="Tahoma" w:eastAsia="Times New Roman" w:hAnsi="Tahoma" w:cs="B Badr"/>
          <w:sz w:val="20"/>
          <w:szCs w:val="20"/>
          <w:rtl/>
        </w:rPr>
        <w:fldChar w:fldCharType="end"/>
      </w:r>
      <w:bookmarkEnd w:id="152"/>
      <w:r w:rsidRPr="005B4FA1">
        <w:rPr>
          <w:rFonts w:ascii="Tahoma" w:eastAsia="Times New Roman" w:hAnsi="Tahoma" w:cs="B Badr" w:hint="cs"/>
          <w:sz w:val="20"/>
          <w:szCs w:val="20"/>
          <w:rtl/>
          <w:lang w:bidi="fa-IR"/>
        </w:rPr>
        <w:t>. تبريزى،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م 1082.</w:t>
      </w:r>
    </w:p>
    <w:bookmarkStart w:id="153" w:name="_ftn4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[40]</w:t>
      </w:r>
      <w:r w:rsidRPr="005B4FA1">
        <w:rPr>
          <w:rFonts w:ascii="Tahoma" w:eastAsia="Times New Roman" w:hAnsi="Tahoma" w:cs="B Badr"/>
          <w:sz w:val="20"/>
          <w:szCs w:val="20"/>
          <w:rtl/>
        </w:rPr>
        <w:fldChar w:fldCharType="end"/>
      </w:r>
      <w:bookmarkEnd w:id="153"/>
      <w:r w:rsidRPr="005B4FA1">
        <w:rPr>
          <w:rFonts w:ascii="Tahoma" w:eastAsia="Times New Roman" w:hAnsi="Tahoma" w:cs="B Badr" w:hint="cs"/>
          <w:sz w:val="20"/>
          <w:szCs w:val="20"/>
          <w:rtl/>
          <w:lang w:bidi="fa-IR"/>
        </w:rPr>
        <w:t>. العروة الوثقى، ج 2، الاعتكاف، م 5.</w:t>
      </w:r>
    </w:p>
    <w:bookmarkStart w:id="154" w:name="_ftn4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[41]</w:t>
      </w:r>
      <w:r w:rsidRPr="005B4FA1">
        <w:rPr>
          <w:rFonts w:ascii="Tahoma" w:eastAsia="Times New Roman" w:hAnsi="Tahoma" w:cs="B Badr"/>
          <w:sz w:val="20"/>
          <w:szCs w:val="20"/>
          <w:rtl/>
        </w:rPr>
        <w:fldChar w:fldCharType="end"/>
      </w:r>
      <w:bookmarkEnd w:id="154"/>
      <w:r w:rsidRPr="005B4FA1">
        <w:rPr>
          <w:rFonts w:ascii="Tahoma" w:eastAsia="Times New Roman" w:hAnsi="Tahoma" w:cs="B Badr" w:hint="cs"/>
          <w:sz w:val="20"/>
          <w:szCs w:val="20"/>
          <w:rtl/>
          <w:lang w:bidi="fa-IR"/>
        </w:rPr>
        <w:t>. امام، نورى، فاضل، مكارم، تعليقات على العروة، ج 1، احكام الاعتكاف، م 9؛ بهجت، وسيلة النجاة، ج 1، 1211؛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1426؛ تبريزى،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م 1072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155" w:name="_ftn4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[42]</w:t>
      </w:r>
      <w:r w:rsidRPr="005B4FA1">
        <w:rPr>
          <w:rFonts w:ascii="Tahoma" w:eastAsia="Times New Roman" w:hAnsi="Tahoma" w:cs="B Badr"/>
          <w:sz w:val="20"/>
          <w:szCs w:val="20"/>
          <w:rtl/>
        </w:rPr>
        <w:fldChar w:fldCharType="end"/>
      </w:r>
      <w:bookmarkEnd w:id="155"/>
      <w:r w:rsidRPr="005B4FA1">
        <w:rPr>
          <w:rFonts w:ascii="Tahoma" w:eastAsia="Times New Roman" w:hAnsi="Tahoma" w:cs="B Badr" w:hint="cs"/>
          <w:sz w:val="20"/>
          <w:szCs w:val="20"/>
          <w:rtl/>
          <w:lang w:bidi="fa-IR"/>
        </w:rPr>
        <w:t>. امام، تحريرالوسيله، ج 1 ، مشروط الاعتكاف، السادس و استفتائات، ج 3، حقوق زوجيت، س 16.</w:t>
      </w:r>
    </w:p>
    <w:bookmarkStart w:id="156" w:name="_ftn4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[43]</w:t>
      </w:r>
      <w:r w:rsidRPr="005B4FA1">
        <w:rPr>
          <w:rFonts w:ascii="Tahoma" w:eastAsia="Times New Roman" w:hAnsi="Tahoma" w:cs="B Badr"/>
          <w:sz w:val="20"/>
          <w:szCs w:val="20"/>
          <w:rtl/>
        </w:rPr>
        <w:fldChar w:fldCharType="end"/>
      </w:r>
      <w:bookmarkEnd w:id="156"/>
      <w:r w:rsidRPr="005B4FA1">
        <w:rPr>
          <w:rFonts w:ascii="Tahoma" w:eastAsia="Times New Roman" w:hAnsi="Tahoma" w:cs="B Badr" w:hint="cs"/>
          <w:sz w:val="20"/>
          <w:szCs w:val="20"/>
          <w:rtl/>
          <w:lang w:bidi="fa-IR"/>
        </w:rPr>
        <w:t>.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ج 2، م 1069، الخامس و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2476 و فاضل، تعليقات على العروة، ج2، شرائط الاعتكاف، السابع.</w:t>
      </w:r>
    </w:p>
    <w:bookmarkStart w:id="157" w:name="_ftn4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[44]</w:t>
      </w:r>
      <w:r w:rsidRPr="005B4FA1">
        <w:rPr>
          <w:rFonts w:ascii="Tahoma" w:eastAsia="Times New Roman" w:hAnsi="Tahoma" w:cs="B Badr"/>
          <w:sz w:val="20"/>
          <w:szCs w:val="20"/>
          <w:rtl/>
        </w:rPr>
        <w:fldChar w:fldCharType="end"/>
      </w:r>
      <w:bookmarkEnd w:id="157"/>
      <w:r w:rsidRPr="005B4FA1">
        <w:rPr>
          <w:rFonts w:ascii="Tahoma" w:eastAsia="Times New Roman" w:hAnsi="Tahoma" w:cs="B Badr" w:hint="cs"/>
          <w:sz w:val="20"/>
          <w:szCs w:val="20"/>
          <w:rtl/>
          <w:lang w:bidi="fa-IR"/>
        </w:rPr>
        <w:t>. بهجت،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متفرقه، م 18 و  وسيله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النجاه، ج 1، م 1193 و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ج 1، م1069.</w:t>
      </w:r>
    </w:p>
    <w:bookmarkStart w:id="158" w:name="_ftn4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[45]</w:t>
      </w:r>
      <w:r w:rsidRPr="005B4FA1">
        <w:rPr>
          <w:rFonts w:ascii="Tahoma" w:eastAsia="Times New Roman" w:hAnsi="Tahoma" w:cs="B Badr"/>
          <w:sz w:val="20"/>
          <w:szCs w:val="20"/>
          <w:rtl/>
        </w:rPr>
        <w:fldChar w:fldCharType="end"/>
      </w:r>
      <w:bookmarkEnd w:id="158"/>
      <w:r w:rsidRPr="005B4FA1">
        <w:rPr>
          <w:rFonts w:ascii="Tahoma" w:eastAsia="Times New Roman" w:hAnsi="Tahoma" w:cs="B Badr" w:hint="cs"/>
          <w:sz w:val="20"/>
          <w:szCs w:val="20"/>
          <w:rtl/>
          <w:lang w:bidi="fa-IR"/>
        </w:rPr>
        <w:t>. صافى، عروه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شروط الاعتكاف، م 1402، السادس و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2421 و سيستانى، تعليقات على العروة، شرائط الاعتكاف، السابع.</w:t>
      </w:r>
    </w:p>
    <w:bookmarkStart w:id="159" w:name="_ftn4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[46]</w:t>
      </w:r>
      <w:r w:rsidRPr="005B4FA1">
        <w:rPr>
          <w:rFonts w:ascii="Tahoma" w:eastAsia="Times New Roman" w:hAnsi="Tahoma" w:cs="B Badr"/>
          <w:sz w:val="20"/>
          <w:szCs w:val="20"/>
          <w:rtl/>
        </w:rPr>
        <w:fldChar w:fldCharType="end"/>
      </w:r>
      <w:bookmarkEnd w:id="159"/>
      <w:r w:rsidRPr="005B4FA1">
        <w:rPr>
          <w:rFonts w:ascii="Tahoma" w:eastAsia="Times New Roman" w:hAnsi="Tahoma" w:cs="B Badr" w:hint="cs"/>
          <w:sz w:val="20"/>
          <w:szCs w:val="20"/>
          <w:rtl/>
          <w:lang w:bidi="fa-IR"/>
        </w:rPr>
        <w:t>. مكارم، تعليقات على العروة، شرائط الاعتكاف، السابع و استفتائات، ج 2، س 963.</w:t>
      </w:r>
    </w:p>
    <w:bookmarkStart w:id="160" w:name="_ftn4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[47]</w:t>
      </w:r>
      <w:r w:rsidRPr="005B4FA1">
        <w:rPr>
          <w:rFonts w:ascii="Tahoma" w:eastAsia="Times New Roman" w:hAnsi="Tahoma" w:cs="B Badr"/>
          <w:sz w:val="20"/>
          <w:szCs w:val="20"/>
          <w:rtl/>
        </w:rPr>
        <w:fldChar w:fldCharType="end"/>
      </w:r>
      <w:bookmarkEnd w:id="160"/>
      <w:r w:rsidRPr="005B4FA1">
        <w:rPr>
          <w:rFonts w:ascii="Tahoma" w:eastAsia="Times New Roman" w:hAnsi="Tahoma" w:cs="B Badr" w:hint="cs"/>
          <w:sz w:val="20"/>
          <w:szCs w:val="20"/>
          <w:rtl/>
          <w:lang w:bidi="fa-IR"/>
        </w:rPr>
        <w:t>. نورى، تعليقات على العروة، شرائط الاعتكاف، السابع و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2408.</w:t>
      </w:r>
    </w:p>
    <w:bookmarkStart w:id="161" w:name="_ftn4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[48]</w:t>
      </w:r>
      <w:r w:rsidRPr="005B4FA1">
        <w:rPr>
          <w:rFonts w:ascii="Tahoma" w:eastAsia="Times New Roman" w:hAnsi="Tahoma" w:cs="B Badr"/>
          <w:sz w:val="20"/>
          <w:szCs w:val="20"/>
          <w:rtl/>
        </w:rPr>
        <w:fldChar w:fldCharType="end"/>
      </w:r>
      <w:bookmarkEnd w:id="161"/>
      <w:r w:rsidRPr="005B4FA1">
        <w:rPr>
          <w:rFonts w:ascii="Tahoma" w:eastAsia="Times New Roman" w:hAnsi="Tahoma" w:cs="B Badr" w:hint="cs"/>
          <w:sz w:val="20"/>
          <w:szCs w:val="20"/>
          <w:rtl/>
          <w:lang w:bidi="fa-IR"/>
        </w:rPr>
        <w:t>. امام، سيستانى، نورى، فاضل، مكارم، تعليقات على العروة، ج 1، الاعتكاف، السابع؛ بهجت، وسيلة النجاة، ج1، 1193؛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1402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وحيد و تبريزى.</w:t>
      </w:r>
    </w:p>
    <w:bookmarkStart w:id="162" w:name="_ftn4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"_ftnref49"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[49]</w:t>
      </w:r>
      <w:r w:rsidRPr="005B4FA1">
        <w:rPr>
          <w:rFonts w:ascii="Tahoma" w:eastAsia="Times New Roman" w:hAnsi="Tahoma" w:cs="B Badr"/>
          <w:sz w:val="20"/>
          <w:szCs w:val="20"/>
          <w:rtl/>
        </w:rPr>
        <w:fldChar w:fldCharType="end"/>
      </w:r>
      <w:bookmarkEnd w:id="162"/>
      <w:r w:rsidRPr="005B4FA1">
        <w:rPr>
          <w:rFonts w:ascii="Tahoma" w:eastAsia="Times New Roman" w:hAnsi="Tahoma" w:cs="B Badr" w:hint="cs"/>
          <w:sz w:val="20"/>
          <w:szCs w:val="20"/>
          <w:rtl/>
          <w:lang w:bidi="fa-IR"/>
        </w:rPr>
        <w:t>. مكارم، استفتائات، ج 2، س 456 ؛ فاضل، جامع</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ج 1، س 617 ؛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الرابع و دفتر: همه مراجع.</w:t>
      </w:r>
    </w:p>
    <w:bookmarkStart w:id="163" w:name="_ftn5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lastRenderedPageBreak/>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[50]</w:t>
      </w:r>
      <w:r w:rsidRPr="005B4FA1">
        <w:rPr>
          <w:rFonts w:ascii="Tahoma" w:eastAsia="Times New Roman" w:hAnsi="Tahoma" w:cs="B Badr"/>
          <w:sz w:val="20"/>
          <w:szCs w:val="20"/>
          <w:rtl/>
        </w:rPr>
        <w:fldChar w:fldCharType="end"/>
      </w:r>
      <w:bookmarkEnd w:id="163"/>
      <w:r w:rsidRPr="005B4FA1">
        <w:rPr>
          <w:rFonts w:ascii="Tahoma" w:eastAsia="Times New Roman" w:hAnsi="Tahoma" w:cs="B Badr" w:hint="cs"/>
          <w:sz w:val="20"/>
          <w:szCs w:val="20"/>
          <w:rtl/>
          <w:lang w:bidi="fa-IR"/>
        </w:rPr>
        <w:t>. العروة الوثقى، شرائط الاعتكاف، م 20.</w:t>
      </w:r>
    </w:p>
    <w:bookmarkStart w:id="164" w:name="_ftn5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[51]</w:t>
      </w:r>
      <w:r w:rsidRPr="005B4FA1">
        <w:rPr>
          <w:rFonts w:ascii="Tahoma" w:eastAsia="Times New Roman" w:hAnsi="Tahoma" w:cs="B Badr"/>
          <w:sz w:val="20"/>
          <w:szCs w:val="20"/>
          <w:rtl/>
        </w:rPr>
        <w:fldChar w:fldCharType="end"/>
      </w:r>
      <w:bookmarkEnd w:id="164"/>
      <w:r w:rsidRPr="005B4FA1">
        <w:rPr>
          <w:rFonts w:ascii="Tahoma" w:eastAsia="Times New Roman" w:hAnsi="Tahoma" w:cs="B Badr" w:hint="cs"/>
          <w:sz w:val="20"/>
          <w:szCs w:val="20"/>
          <w:rtl/>
          <w:lang w:bidi="fa-IR"/>
        </w:rPr>
        <w:t>. العروة الوثقى، ج 2، الاعتكاف، م 23.</w:t>
      </w:r>
    </w:p>
    <w:bookmarkStart w:id="165" w:name="_ftn5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[52]</w:t>
      </w:r>
      <w:r w:rsidRPr="005B4FA1">
        <w:rPr>
          <w:rFonts w:ascii="Tahoma" w:eastAsia="Times New Roman" w:hAnsi="Tahoma" w:cs="B Badr"/>
          <w:sz w:val="20"/>
          <w:szCs w:val="20"/>
          <w:rtl/>
        </w:rPr>
        <w:fldChar w:fldCharType="end"/>
      </w:r>
      <w:bookmarkEnd w:id="165"/>
      <w:r w:rsidRPr="005B4FA1">
        <w:rPr>
          <w:rFonts w:ascii="Tahoma" w:eastAsia="Times New Roman" w:hAnsi="Tahoma" w:cs="B Badr" w:hint="cs"/>
          <w:sz w:val="20"/>
          <w:szCs w:val="20"/>
          <w:rtl/>
          <w:lang w:bidi="fa-IR"/>
        </w:rPr>
        <w:t>. امام، تحريرالوسيله، ج 1، شروط الاعتكاف، الخامس ؛ مكارم، فاضل، و نورى، تعليقات على العروة، ج 2، الاعتكاف، السادس ؛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الاعتكاف، الخامس ؛ وحيد، تبريزى و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العتكاف، الرابع؛ بهجت، وسيلة النجاة، ج 1، م 1192؛ فاضل، جامع</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ج 1، س 617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166" w:name="_ftn5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[53]</w:t>
      </w:r>
      <w:r w:rsidRPr="005B4FA1">
        <w:rPr>
          <w:rFonts w:ascii="Tahoma" w:eastAsia="Times New Roman" w:hAnsi="Tahoma" w:cs="B Badr"/>
          <w:sz w:val="20"/>
          <w:szCs w:val="20"/>
          <w:rtl/>
        </w:rPr>
        <w:fldChar w:fldCharType="end"/>
      </w:r>
      <w:bookmarkEnd w:id="166"/>
      <w:r w:rsidRPr="005B4FA1">
        <w:rPr>
          <w:rFonts w:ascii="Tahoma" w:eastAsia="Times New Roman" w:hAnsi="Tahoma" w:cs="B Badr" w:hint="cs"/>
          <w:sz w:val="20"/>
          <w:szCs w:val="20"/>
          <w:rtl/>
          <w:lang w:bidi="fa-IR"/>
        </w:rPr>
        <w:t>. العروة الوثقى، ج 2، الاعتكاف، م 18.</w:t>
      </w:r>
    </w:p>
    <w:bookmarkStart w:id="167" w:name="_ftn5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[54]</w:t>
      </w:r>
      <w:r w:rsidRPr="005B4FA1">
        <w:rPr>
          <w:rFonts w:ascii="Tahoma" w:eastAsia="Times New Roman" w:hAnsi="Tahoma" w:cs="B Badr"/>
          <w:sz w:val="20"/>
          <w:szCs w:val="20"/>
          <w:rtl/>
        </w:rPr>
        <w:fldChar w:fldCharType="end"/>
      </w:r>
      <w:bookmarkEnd w:id="167"/>
      <w:r w:rsidRPr="005B4FA1">
        <w:rPr>
          <w:rFonts w:ascii="Tahoma" w:eastAsia="Times New Roman" w:hAnsi="Tahoma" w:cs="B Badr" w:hint="cs"/>
          <w:sz w:val="20"/>
          <w:szCs w:val="20"/>
          <w:rtl/>
          <w:lang w:bidi="fa-IR"/>
        </w:rPr>
        <w:t>. العروة الوثقى، ج 2، الاعتكاف، م 18.</w:t>
      </w:r>
    </w:p>
    <w:bookmarkStart w:id="168" w:name="_ftn5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[55]</w:t>
      </w:r>
      <w:r w:rsidRPr="005B4FA1">
        <w:rPr>
          <w:rFonts w:ascii="Tahoma" w:eastAsia="Times New Roman" w:hAnsi="Tahoma" w:cs="B Badr"/>
          <w:sz w:val="20"/>
          <w:szCs w:val="20"/>
          <w:rtl/>
        </w:rPr>
        <w:fldChar w:fldCharType="end"/>
      </w:r>
      <w:bookmarkEnd w:id="168"/>
      <w:r w:rsidRPr="005B4FA1">
        <w:rPr>
          <w:rFonts w:ascii="Tahoma" w:eastAsia="Times New Roman" w:hAnsi="Tahoma" w:cs="B Badr" w:hint="cs"/>
          <w:sz w:val="20"/>
          <w:szCs w:val="20"/>
          <w:rtl/>
          <w:lang w:bidi="fa-IR"/>
        </w:rPr>
        <w:t>. دفتر: همه مراجع.</w:t>
      </w:r>
    </w:p>
    <w:bookmarkStart w:id="169" w:name="_ftn5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[56]</w:t>
      </w:r>
      <w:r w:rsidRPr="005B4FA1">
        <w:rPr>
          <w:rFonts w:ascii="Tahoma" w:eastAsia="Times New Roman" w:hAnsi="Tahoma" w:cs="B Badr"/>
          <w:sz w:val="20"/>
          <w:szCs w:val="20"/>
          <w:rtl/>
        </w:rPr>
        <w:fldChar w:fldCharType="end"/>
      </w:r>
      <w:bookmarkEnd w:id="169"/>
      <w:r w:rsidRPr="005B4FA1">
        <w:rPr>
          <w:rFonts w:ascii="Tahoma" w:eastAsia="Times New Roman" w:hAnsi="Tahoma" w:cs="B Badr" w:hint="cs"/>
          <w:sz w:val="20"/>
          <w:szCs w:val="20"/>
          <w:rtl/>
          <w:lang w:bidi="fa-IR"/>
        </w:rPr>
        <w:t>. امام، تحريرالوسيله، ج 1، شروط الاعتكاف، الخامس.</w:t>
      </w:r>
    </w:p>
    <w:bookmarkStart w:id="170" w:name="_ftn5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[57]</w:t>
      </w:r>
      <w:r w:rsidRPr="005B4FA1">
        <w:rPr>
          <w:rFonts w:ascii="Tahoma" w:eastAsia="Times New Roman" w:hAnsi="Tahoma" w:cs="B Badr"/>
          <w:sz w:val="20"/>
          <w:szCs w:val="20"/>
          <w:rtl/>
        </w:rPr>
        <w:fldChar w:fldCharType="end"/>
      </w:r>
      <w:bookmarkEnd w:id="170"/>
      <w:r w:rsidRPr="005B4FA1">
        <w:rPr>
          <w:rFonts w:ascii="Tahoma" w:eastAsia="Times New Roman" w:hAnsi="Tahoma" w:cs="B Badr" w:hint="cs"/>
          <w:sz w:val="20"/>
          <w:szCs w:val="20"/>
          <w:rtl/>
          <w:lang w:bidi="fa-IR"/>
        </w:rPr>
        <w:t>.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171" w:name="_ftn5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[58]</w:t>
      </w:r>
      <w:r w:rsidRPr="005B4FA1">
        <w:rPr>
          <w:rFonts w:ascii="Tahoma" w:eastAsia="Times New Roman" w:hAnsi="Tahoma" w:cs="B Badr"/>
          <w:sz w:val="20"/>
          <w:szCs w:val="20"/>
          <w:rtl/>
        </w:rPr>
        <w:fldChar w:fldCharType="end"/>
      </w:r>
      <w:bookmarkEnd w:id="171"/>
      <w:r w:rsidRPr="005B4FA1">
        <w:rPr>
          <w:rFonts w:ascii="Tahoma" w:eastAsia="Times New Roman" w:hAnsi="Tahoma" w:cs="B Badr" w:hint="cs"/>
          <w:sz w:val="20"/>
          <w:szCs w:val="20"/>
          <w:rtl/>
          <w:lang w:bidi="fa-IR"/>
        </w:rPr>
        <w:t>. دفتر: همه مراجع.</w:t>
      </w:r>
    </w:p>
    <w:bookmarkStart w:id="172" w:name="_ftn5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"_ftnref59"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[59]</w:t>
      </w:r>
      <w:r w:rsidRPr="005B4FA1">
        <w:rPr>
          <w:rFonts w:ascii="Tahoma" w:eastAsia="Times New Roman" w:hAnsi="Tahoma" w:cs="B Badr"/>
          <w:sz w:val="20"/>
          <w:szCs w:val="20"/>
          <w:rtl/>
        </w:rPr>
        <w:fldChar w:fldCharType="end"/>
      </w:r>
      <w:bookmarkEnd w:id="172"/>
      <w:r w:rsidRPr="005B4FA1">
        <w:rPr>
          <w:rFonts w:ascii="Tahoma" w:eastAsia="Times New Roman" w:hAnsi="Tahoma" w:cs="B Badr" w:hint="cs"/>
          <w:sz w:val="20"/>
          <w:szCs w:val="20"/>
          <w:rtl/>
          <w:lang w:bidi="fa-IR"/>
        </w:rPr>
        <w:t>. العروة الوثقى، ج 2، الاعتكاف، م 26.</w:t>
      </w:r>
    </w:p>
    <w:bookmarkStart w:id="173" w:name="_ftn6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[60]</w:t>
      </w:r>
      <w:r w:rsidRPr="005B4FA1">
        <w:rPr>
          <w:rFonts w:ascii="Tahoma" w:eastAsia="Times New Roman" w:hAnsi="Tahoma" w:cs="B Badr"/>
          <w:sz w:val="20"/>
          <w:szCs w:val="20"/>
          <w:rtl/>
        </w:rPr>
        <w:fldChar w:fldCharType="end"/>
      </w:r>
      <w:bookmarkEnd w:id="173"/>
      <w:r w:rsidRPr="005B4FA1">
        <w:rPr>
          <w:rFonts w:ascii="Tahoma" w:eastAsia="Times New Roman" w:hAnsi="Tahoma" w:cs="B Badr" w:hint="cs"/>
          <w:sz w:val="20"/>
          <w:szCs w:val="20"/>
          <w:rtl/>
          <w:lang w:bidi="fa-IR"/>
        </w:rPr>
        <w:t>. دفتر: همه مراجع.</w:t>
      </w:r>
    </w:p>
    <w:bookmarkStart w:id="174" w:name="_ftn6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[61]</w:t>
      </w:r>
      <w:r w:rsidRPr="005B4FA1">
        <w:rPr>
          <w:rFonts w:ascii="Tahoma" w:eastAsia="Times New Roman" w:hAnsi="Tahoma" w:cs="B Badr"/>
          <w:sz w:val="20"/>
          <w:szCs w:val="20"/>
          <w:rtl/>
        </w:rPr>
        <w:fldChar w:fldCharType="end"/>
      </w:r>
      <w:bookmarkEnd w:id="174"/>
      <w:r w:rsidRPr="005B4FA1">
        <w:rPr>
          <w:rFonts w:ascii="Tahoma" w:eastAsia="Times New Roman" w:hAnsi="Tahoma" w:cs="B Badr" w:hint="cs"/>
          <w:sz w:val="20"/>
          <w:szCs w:val="20"/>
          <w:rtl/>
          <w:lang w:bidi="fa-IR"/>
        </w:rPr>
        <w:t>. دفتر: همه مراجع.</w:t>
      </w:r>
    </w:p>
    <w:bookmarkStart w:id="175" w:name="_ftn6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[62]</w:t>
      </w:r>
      <w:r w:rsidRPr="005B4FA1">
        <w:rPr>
          <w:rFonts w:ascii="Tahoma" w:eastAsia="Times New Roman" w:hAnsi="Tahoma" w:cs="B Badr"/>
          <w:sz w:val="20"/>
          <w:szCs w:val="20"/>
          <w:rtl/>
        </w:rPr>
        <w:fldChar w:fldCharType="end"/>
      </w:r>
      <w:bookmarkEnd w:id="175"/>
      <w:r w:rsidRPr="005B4FA1">
        <w:rPr>
          <w:rFonts w:ascii="Tahoma" w:eastAsia="Times New Roman" w:hAnsi="Tahoma" w:cs="B Badr" w:hint="cs"/>
          <w:sz w:val="20"/>
          <w:szCs w:val="20"/>
          <w:rtl/>
          <w:lang w:bidi="fa-IR"/>
        </w:rPr>
        <w:t>.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مراجع، م 1576؛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اجوبه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الاستفتائات، س 767 و العروه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الوثقى، ج 2، الاعتكاف، م30.</w:t>
      </w:r>
    </w:p>
    <w:bookmarkStart w:id="176" w:name="_ftn6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[63]</w:t>
      </w:r>
      <w:r w:rsidRPr="005B4FA1">
        <w:rPr>
          <w:rFonts w:ascii="Tahoma" w:eastAsia="Times New Roman" w:hAnsi="Tahoma" w:cs="B Badr"/>
          <w:sz w:val="20"/>
          <w:szCs w:val="20"/>
          <w:rtl/>
        </w:rPr>
        <w:fldChar w:fldCharType="end"/>
      </w:r>
      <w:bookmarkEnd w:id="176"/>
      <w:r w:rsidRPr="005B4FA1">
        <w:rPr>
          <w:rFonts w:ascii="Tahoma" w:eastAsia="Times New Roman" w:hAnsi="Tahoma" w:cs="B Badr" w:hint="cs"/>
          <w:sz w:val="20"/>
          <w:szCs w:val="20"/>
          <w:rtl/>
          <w:lang w:bidi="fa-IR"/>
        </w:rPr>
        <w:t>.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مراجع، م 1576 ؛ وحيد،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1584 و العروة الوثقى، ج 2، الاعتكاف، م 30.</w:t>
      </w:r>
    </w:p>
    <w:bookmarkStart w:id="177" w:name="_ftn6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[64]</w:t>
      </w:r>
      <w:r w:rsidRPr="005B4FA1">
        <w:rPr>
          <w:rFonts w:ascii="Tahoma" w:eastAsia="Times New Roman" w:hAnsi="Tahoma" w:cs="B Badr"/>
          <w:sz w:val="20"/>
          <w:szCs w:val="20"/>
          <w:rtl/>
        </w:rPr>
        <w:fldChar w:fldCharType="end"/>
      </w:r>
      <w:bookmarkEnd w:id="177"/>
      <w:r w:rsidRPr="005B4FA1">
        <w:rPr>
          <w:rFonts w:ascii="Tahoma" w:eastAsia="Times New Roman" w:hAnsi="Tahoma" w:cs="B Badr" w:hint="cs"/>
          <w:sz w:val="20"/>
          <w:szCs w:val="20"/>
          <w:rtl/>
          <w:lang w:bidi="fa-IR"/>
        </w:rPr>
        <w:t>.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مراجع، م 1576 و العروه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الوثقى، ج 2، الاعتكاف، م 30.</w:t>
      </w:r>
    </w:p>
    <w:bookmarkStart w:id="178" w:name="_ftn6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[65]</w:t>
      </w:r>
      <w:r w:rsidRPr="005B4FA1">
        <w:rPr>
          <w:rFonts w:ascii="Tahoma" w:eastAsia="Times New Roman" w:hAnsi="Tahoma" w:cs="B Badr"/>
          <w:sz w:val="20"/>
          <w:szCs w:val="20"/>
          <w:rtl/>
        </w:rPr>
        <w:fldChar w:fldCharType="end"/>
      </w:r>
      <w:bookmarkEnd w:id="178"/>
      <w:r w:rsidRPr="005B4FA1">
        <w:rPr>
          <w:rFonts w:ascii="Tahoma" w:eastAsia="Times New Roman" w:hAnsi="Tahoma" w:cs="B Badr" w:hint="cs"/>
          <w:sz w:val="20"/>
          <w:szCs w:val="20"/>
          <w:rtl/>
          <w:lang w:bidi="fa-IR"/>
        </w:rPr>
        <w:t>. دفتر: همه مراجع.</w:t>
      </w:r>
    </w:p>
    <w:bookmarkStart w:id="179" w:name="_ftn6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[66]</w:t>
      </w:r>
      <w:r w:rsidRPr="005B4FA1">
        <w:rPr>
          <w:rFonts w:ascii="Tahoma" w:eastAsia="Times New Roman" w:hAnsi="Tahoma" w:cs="B Badr"/>
          <w:sz w:val="20"/>
          <w:szCs w:val="20"/>
          <w:rtl/>
        </w:rPr>
        <w:fldChar w:fldCharType="end"/>
      </w:r>
      <w:bookmarkEnd w:id="179"/>
      <w:r w:rsidRPr="005B4FA1">
        <w:rPr>
          <w:rFonts w:ascii="Tahoma" w:eastAsia="Times New Roman" w:hAnsi="Tahoma" w:cs="B Badr" w:hint="cs"/>
          <w:sz w:val="20"/>
          <w:szCs w:val="20"/>
          <w:rtl/>
          <w:lang w:bidi="fa-IR"/>
        </w:rPr>
        <w:t>. امام و فاضل، تعليقات على العروة، ج 2، احكام الاعتكاف، م 3 ؛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1421 و 1423 و بهجت، وسيلة النجاة، ج 1، م 1208 و 1210.</w:t>
      </w:r>
    </w:p>
    <w:bookmarkStart w:id="180" w:name="_ftn6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[67]</w:t>
      </w:r>
      <w:r w:rsidRPr="005B4FA1">
        <w:rPr>
          <w:rFonts w:ascii="Tahoma" w:eastAsia="Times New Roman" w:hAnsi="Tahoma" w:cs="B Badr"/>
          <w:sz w:val="20"/>
          <w:szCs w:val="20"/>
          <w:rtl/>
        </w:rPr>
        <w:fldChar w:fldCharType="end"/>
      </w:r>
      <w:bookmarkEnd w:id="180"/>
      <w:r w:rsidRPr="005B4FA1">
        <w:rPr>
          <w:rFonts w:ascii="Tahoma" w:eastAsia="Times New Roman" w:hAnsi="Tahoma" w:cs="B Badr" w:hint="cs"/>
          <w:sz w:val="20"/>
          <w:szCs w:val="20"/>
          <w:rtl/>
          <w:lang w:bidi="fa-IR"/>
        </w:rPr>
        <w:t>.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1080.</w:t>
      </w:r>
    </w:p>
    <w:bookmarkStart w:id="181" w:name="_ftn6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[68]</w:t>
      </w:r>
      <w:r w:rsidRPr="005B4FA1">
        <w:rPr>
          <w:rFonts w:ascii="Tahoma" w:eastAsia="Times New Roman" w:hAnsi="Tahoma" w:cs="B Badr"/>
          <w:sz w:val="20"/>
          <w:szCs w:val="20"/>
          <w:rtl/>
        </w:rPr>
        <w:fldChar w:fldCharType="end"/>
      </w:r>
      <w:bookmarkEnd w:id="181"/>
      <w:r w:rsidRPr="005B4FA1">
        <w:rPr>
          <w:rFonts w:ascii="Tahoma" w:eastAsia="Times New Roman" w:hAnsi="Tahoma" w:cs="B Badr" w:hint="cs"/>
          <w:sz w:val="20"/>
          <w:szCs w:val="20"/>
          <w:rtl/>
          <w:lang w:bidi="fa-IR"/>
        </w:rPr>
        <w:t>. نورى و مكارم، تعليقات على العروة، ج 2، احكام الاعتكاف، م 3 و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1080.</w:t>
      </w:r>
    </w:p>
    <w:bookmarkStart w:id="182" w:name="_ftn6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"_ftnref69"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[69]</w:t>
      </w:r>
      <w:r w:rsidRPr="005B4FA1">
        <w:rPr>
          <w:rFonts w:ascii="Tahoma" w:eastAsia="Times New Roman" w:hAnsi="Tahoma" w:cs="B Badr"/>
          <w:sz w:val="20"/>
          <w:szCs w:val="20"/>
          <w:rtl/>
        </w:rPr>
        <w:fldChar w:fldCharType="end"/>
      </w:r>
      <w:bookmarkEnd w:id="182"/>
      <w:r w:rsidRPr="005B4FA1">
        <w:rPr>
          <w:rFonts w:ascii="Tahoma" w:eastAsia="Times New Roman" w:hAnsi="Tahoma" w:cs="B Badr" w:hint="cs"/>
          <w:sz w:val="20"/>
          <w:szCs w:val="20"/>
          <w:rtl/>
          <w:lang w:bidi="fa-IR"/>
        </w:rPr>
        <w:t>. العروة الوثقى، ج 2، احكام الاعتكاف، الرابع.</w:t>
      </w:r>
    </w:p>
    <w:bookmarkStart w:id="183" w:name="_ftn7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[70]</w:t>
      </w:r>
      <w:r w:rsidRPr="005B4FA1">
        <w:rPr>
          <w:rFonts w:ascii="Tahoma" w:eastAsia="Times New Roman" w:hAnsi="Tahoma" w:cs="B Badr"/>
          <w:sz w:val="20"/>
          <w:szCs w:val="20"/>
          <w:rtl/>
        </w:rPr>
        <w:fldChar w:fldCharType="end"/>
      </w:r>
      <w:bookmarkEnd w:id="183"/>
      <w:r w:rsidRPr="005B4FA1">
        <w:rPr>
          <w:rFonts w:ascii="Tahoma" w:eastAsia="Times New Roman" w:hAnsi="Tahoma" w:cs="B Badr" w:hint="cs"/>
          <w:sz w:val="20"/>
          <w:szCs w:val="20"/>
          <w:rtl/>
          <w:lang w:bidi="fa-IR"/>
        </w:rPr>
        <w:t>. العروة الوثقى، شرائط الاعتكاف، م 39.</w:t>
      </w:r>
    </w:p>
    <w:bookmarkStart w:id="184" w:name="_ftn7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[71]</w:t>
      </w:r>
      <w:r w:rsidRPr="005B4FA1">
        <w:rPr>
          <w:rFonts w:ascii="Tahoma" w:eastAsia="Times New Roman" w:hAnsi="Tahoma" w:cs="B Badr"/>
          <w:sz w:val="20"/>
          <w:szCs w:val="20"/>
          <w:rtl/>
        </w:rPr>
        <w:fldChar w:fldCharType="end"/>
      </w:r>
      <w:bookmarkEnd w:id="184"/>
      <w:r w:rsidRPr="005B4FA1">
        <w:rPr>
          <w:rFonts w:ascii="Tahoma" w:eastAsia="Times New Roman" w:hAnsi="Tahoma" w:cs="B Badr" w:hint="cs"/>
          <w:sz w:val="20"/>
          <w:szCs w:val="20"/>
          <w:rtl/>
          <w:lang w:bidi="fa-IR"/>
        </w:rPr>
        <w:t>. العروة الوثقى، ج 2، الاعتكاف، م شروط الاعتكاف، الرابع و م 19 و احكام الاعتكاف، م 9.</w:t>
      </w:r>
    </w:p>
    <w:bookmarkStart w:id="185" w:name="_ftn7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[72]</w:t>
      </w:r>
      <w:r w:rsidRPr="005B4FA1">
        <w:rPr>
          <w:rFonts w:ascii="Tahoma" w:eastAsia="Times New Roman" w:hAnsi="Tahoma" w:cs="B Badr"/>
          <w:sz w:val="20"/>
          <w:szCs w:val="20"/>
          <w:rtl/>
        </w:rPr>
        <w:fldChar w:fldCharType="end"/>
      </w:r>
      <w:bookmarkEnd w:id="185"/>
      <w:r w:rsidRPr="005B4FA1">
        <w:rPr>
          <w:rFonts w:ascii="Tahoma" w:eastAsia="Times New Roman" w:hAnsi="Tahoma" w:cs="B Badr" w:hint="cs"/>
          <w:sz w:val="20"/>
          <w:szCs w:val="20"/>
          <w:rtl/>
          <w:lang w:bidi="fa-IR"/>
        </w:rPr>
        <w:t>. العروة الوثقى، ج 2، الاعتكاف، م 40.</w:t>
      </w:r>
    </w:p>
    <w:bookmarkStart w:id="186" w:name="_ftn7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[73]</w:t>
      </w:r>
      <w:r w:rsidRPr="005B4FA1">
        <w:rPr>
          <w:rFonts w:ascii="Tahoma" w:eastAsia="Times New Roman" w:hAnsi="Tahoma" w:cs="B Badr"/>
          <w:sz w:val="20"/>
          <w:szCs w:val="20"/>
          <w:rtl/>
        </w:rPr>
        <w:fldChar w:fldCharType="end"/>
      </w:r>
      <w:bookmarkEnd w:id="186"/>
      <w:r w:rsidRPr="005B4FA1">
        <w:rPr>
          <w:rFonts w:ascii="Tahoma" w:eastAsia="Times New Roman" w:hAnsi="Tahoma" w:cs="B Badr" w:hint="cs"/>
          <w:sz w:val="20"/>
          <w:szCs w:val="20"/>
          <w:rtl/>
          <w:lang w:bidi="fa-IR"/>
        </w:rPr>
        <w:t>. امام، تعليقات على العروة، الاعتكاف، م 40.</w:t>
      </w:r>
    </w:p>
    <w:bookmarkStart w:id="187" w:name="_ftn7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[74]</w:t>
      </w:r>
      <w:r w:rsidRPr="005B4FA1">
        <w:rPr>
          <w:rFonts w:ascii="Tahoma" w:eastAsia="Times New Roman" w:hAnsi="Tahoma" w:cs="B Badr"/>
          <w:sz w:val="20"/>
          <w:szCs w:val="20"/>
          <w:rtl/>
        </w:rPr>
        <w:fldChar w:fldCharType="end"/>
      </w:r>
      <w:bookmarkEnd w:id="187"/>
      <w:r w:rsidRPr="005B4FA1">
        <w:rPr>
          <w:rFonts w:ascii="Tahoma" w:eastAsia="Times New Roman" w:hAnsi="Tahoma" w:cs="B Badr" w:hint="cs"/>
          <w:sz w:val="20"/>
          <w:szCs w:val="20"/>
          <w:rtl/>
          <w:lang w:bidi="fa-IR"/>
        </w:rPr>
        <w:t>. نورى و فاضل، تعليقات على العروة، الاعتكاف، م 40 ؛ بهجت، وسيلة النجاة، ج 1، م 1207 ؛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1074 و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1416.</w:t>
      </w:r>
    </w:p>
    <w:bookmarkStart w:id="188" w:name="_ftn7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[75]</w:t>
      </w:r>
      <w:r w:rsidRPr="005B4FA1">
        <w:rPr>
          <w:rFonts w:ascii="Tahoma" w:eastAsia="Times New Roman" w:hAnsi="Tahoma" w:cs="B Badr"/>
          <w:sz w:val="20"/>
          <w:szCs w:val="20"/>
          <w:rtl/>
        </w:rPr>
        <w:fldChar w:fldCharType="end"/>
      </w:r>
      <w:bookmarkEnd w:id="188"/>
      <w:r w:rsidRPr="005B4FA1">
        <w:rPr>
          <w:rFonts w:ascii="Tahoma" w:eastAsia="Times New Roman" w:hAnsi="Tahoma" w:cs="B Badr" w:hint="cs"/>
          <w:sz w:val="20"/>
          <w:szCs w:val="20"/>
          <w:rtl/>
          <w:lang w:bidi="fa-IR"/>
        </w:rPr>
        <w:t>.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1074.</w:t>
      </w:r>
    </w:p>
    <w:bookmarkStart w:id="189" w:name="_ftn7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[76]</w:t>
      </w:r>
      <w:r w:rsidRPr="005B4FA1">
        <w:rPr>
          <w:rFonts w:ascii="Tahoma" w:eastAsia="Times New Roman" w:hAnsi="Tahoma" w:cs="B Badr"/>
          <w:sz w:val="20"/>
          <w:szCs w:val="20"/>
          <w:rtl/>
        </w:rPr>
        <w:fldChar w:fldCharType="end"/>
      </w:r>
      <w:bookmarkEnd w:id="189"/>
      <w:r w:rsidRPr="005B4FA1">
        <w:rPr>
          <w:rFonts w:ascii="Tahoma" w:eastAsia="Times New Roman" w:hAnsi="Tahoma" w:cs="B Badr" w:hint="cs"/>
          <w:sz w:val="20"/>
          <w:szCs w:val="20"/>
          <w:rtl/>
          <w:lang w:bidi="fa-IR"/>
        </w:rPr>
        <w:t>. امام، نورى، مكارم و فاضل، تعليقات على العروة، ج 1، الاعتكاف، م 30؛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1412؛ بهجت، وسيلة النجاة، ج1، 1203؛ تبريزى، وحيد و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السادس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190" w:name="_ftn7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[77]</w:t>
      </w:r>
      <w:r w:rsidRPr="005B4FA1">
        <w:rPr>
          <w:rFonts w:ascii="Tahoma" w:eastAsia="Times New Roman" w:hAnsi="Tahoma" w:cs="B Badr"/>
          <w:sz w:val="20"/>
          <w:szCs w:val="20"/>
          <w:rtl/>
        </w:rPr>
        <w:fldChar w:fldCharType="end"/>
      </w:r>
      <w:bookmarkEnd w:id="190"/>
      <w:r w:rsidRPr="005B4FA1">
        <w:rPr>
          <w:rFonts w:ascii="Tahoma" w:eastAsia="Times New Roman" w:hAnsi="Tahoma" w:cs="B Badr" w:hint="cs"/>
          <w:sz w:val="20"/>
          <w:szCs w:val="20"/>
          <w:rtl/>
          <w:lang w:bidi="fa-IR"/>
        </w:rPr>
        <w:t>. العروة الوثقى، ج 2، الاعتكاف، م 30.</w:t>
      </w:r>
    </w:p>
    <w:bookmarkStart w:id="191" w:name="_ftn7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[78]</w:t>
      </w:r>
      <w:r w:rsidRPr="005B4FA1">
        <w:rPr>
          <w:rFonts w:ascii="Tahoma" w:eastAsia="Times New Roman" w:hAnsi="Tahoma" w:cs="B Badr"/>
          <w:sz w:val="20"/>
          <w:szCs w:val="20"/>
          <w:rtl/>
        </w:rPr>
        <w:fldChar w:fldCharType="end"/>
      </w:r>
      <w:bookmarkEnd w:id="191"/>
      <w:r w:rsidRPr="005B4FA1">
        <w:rPr>
          <w:rFonts w:ascii="Tahoma" w:eastAsia="Times New Roman" w:hAnsi="Tahoma" w:cs="B Badr" w:hint="cs"/>
          <w:sz w:val="20"/>
          <w:szCs w:val="20"/>
          <w:rtl/>
          <w:lang w:bidi="fa-IR"/>
        </w:rPr>
        <w:t>. امام، فاضل و نورى، تعليقات على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العروة، ج 2، الاعتكاف، م 35.</w:t>
      </w:r>
    </w:p>
    <w:bookmarkStart w:id="192" w:name="_ftn7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"_ftnref79"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[79]</w:t>
      </w:r>
      <w:r w:rsidRPr="005B4FA1">
        <w:rPr>
          <w:rFonts w:ascii="Tahoma" w:eastAsia="Times New Roman" w:hAnsi="Tahoma" w:cs="B Badr"/>
          <w:sz w:val="20"/>
          <w:szCs w:val="20"/>
          <w:rtl/>
        </w:rPr>
        <w:fldChar w:fldCharType="end"/>
      </w:r>
      <w:bookmarkEnd w:id="192"/>
      <w:r w:rsidRPr="005B4FA1">
        <w:rPr>
          <w:rFonts w:ascii="Tahoma" w:eastAsia="Times New Roman" w:hAnsi="Tahoma" w:cs="B Badr" w:hint="cs"/>
          <w:sz w:val="20"/>
          <w:szCs w:val="20"/>
          <w:rtl/>
          <w:lang w:bidi="fa-IR"/>
        </w:rPr>
        <w:t>. بهجت، وسيله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النجاة، ج 1، الاعتكاف؛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الاعتكاف.</w:t>
      </w:r>
    </w:p>
    <w:bookmarkStart w:id="193" w:name="_ftn8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lastRenderedPageBreak/>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[80]</w:t>
      </w:r>
      <w:r w:rsidRPr="005B4FA1">
        <w:rPr>
          <w:rFonts w:ascii="Tahoma" w:eastAsia="Times New Roman" w:hAnsi="Tahoma" w:cs="B Badr"/>
          <w:sz w:val="20"/>
          <w:szCs w:val="20"/>
          <w:rtl/>
        </w:rPr>
        <w:fldChar w:fldCharType="end"/>
      </w:r>
      <w:bookmarkEnd w:id="193"/>
      <w:r w:rsidRPr="005B4FA1">
        <w:rPr>
          <w:rFonts w:ascii="Tahoma" w:eastAsia="Times New Roman" w:hAnsi="Tahoma" w:cs="B Badr" w:hint="cs"/>
          <w:sz w:val="20"/>
          <w:szCs w:val="20"/>
          <w:rtl/>
          <w:lang w:bidi="fa-IR"/>
        </w:rPr>
        <w:t>. تبريزى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1072.</w:t>
      </w:r>
    </w:p>
    <w:bookmarkStart w:id="194" w:name="_ftn8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[81]</w:t>
      </w:r>
      <w:r w:rsidRPr="005B4FA1">
        <w:rPr>
          <w:rFonts w:ascii="Tahoma" w:eastAsia="Times New Roman" w:hAnsi="Tahoma" w:cs="B Badr"/>
          <w:sz w:val="20"/>
          <w:szCs w:val="20"/>
          <w:rtl/>
        </w:rPr>
        <w:fldChar w:fldCharType="end"/>
      </w:r>
      <w:bookmarkEnd w:id="194"/>
      <w:r w:rsidRPr="005B4FA1">
        <w:rPr>
          <w:rFonts w:ascii="Tahoma" w:eastAsia="Times New Roman" w:hAnsi="Tahoma" w:cs="B Badr" w:hint="cs"/>
          <w:sz w:val="20"/>
          <w:szCs w:val="20"/>
          <w:rtl/>
          <w:lang w:bidi="fa-IR"/>
        </w:rPr>
        <w:t>.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1072.</w:t>
      </w:r>
    </w:p>
    <w:bookmarkStart w:id="195" w:name="_ftn8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[82]</w:t>
      </w:r>
      <w:r w:rsidRPr="005B4FA1">
        <w:rPr>
          <w:rFonts w:ascii="Tahoma" w:eastAsia="Times New Roman" w:hAnsi="Tahoma" w:cs="B Badr"/>
          <w:sz w:val="20"/>
          <w:szCs w:val="20"/>
          <w:rtl/>
        </w:rPr>
        <w:fldChar w:fldCharType="end"/>
      </w:r>
      <w:bookmarkEnd w:id="195"/>
      <w:r w:rsidRPr="005B4FA1">
        <w:rPr>
          <w:rFonts w:ascii="Tahoma" w:eastAsia="Times New Roman" w:hAnsi="Tahoma" w:cs="B Badr" w:hint="cs"/>
          <w:sz w:val="20"/>
          <w:szCs w:val="20"/>
          <w:rtl/>
          <w:lang w:bidi="fa-IR"/>
        </w:rPr>
        <w:t>. مكارم، تعليقات العروة، ج 2، الاعتكاف، م 35.</w:t>
      </w:r>
    </w:p>
    <w:bookmarkStart w:id="196" w:name="_ftn8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[83]</w:t>
      </w:r>
      <w:r w:rsidRPr="005B4FA1">
        <w:rPr>
          <w:rFonts w:ascii="Tahoma" w:eastAsia="Times New Roman" w:hAnsi="Tahoma" w:cs="B Badr"/>
          <w:sz w:val="20"/>
          <w:szCs w:val="20"/>
          <w:rtl/>
        </w:rPr>
        <w:fldChar w:fldCharType="end"/>
      </w:r>
      <w:bookmarkEnd w:id="196"/>
      <w:r w:rsidRPr="005B4FA1">
        <w:rPr>
          <w:rFonts w:ascii="Tahoma" w:eastAsia="Times New Roman" w:hAnsi="Tahoma" w:cs="B Badr" w:hint="cs"/>
          <w:sz w:val="20"/>
          <w:szCs w:val="20"/>
          <w:rtl/>
          <w:lang w:bidi="fa-IR"/>
        </w:rPr>
        <w:t>. امام، فاضل، نورى، تعليقات على العروة، ج 2 الاعتكاف؛ بهجت، وسيله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النجاة، ج 1، م 1194.</w:t>
      </w:r>
    </w:p>
    <w:bookmarkStart w:id="197" w:name="_ftn8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[84]</w:t>
      </w:r>
      <w:r w:rsidRPr="005B4FA1">
        <w:rPr>
          <w:rFonts w:ascii="Tahoma" w:eastAsia="Times New Roman" w:hAnsi="Tahoma" w:cs="B Badr"/>
          <w:sz w:val="20"/>
          <w:szCs w:val="20"/>
          <w:rtl/>
        </w:rPr>
        <w:fldChar w:fldCharType="end"/>
      </w:r>
      <w:bookmarkEnd w:id="197"/>
      <w:r w:rsidRPr="005B4FA1">
        <w:rPr>
          <w:rFonts w:ascii="Tahoma" w:eastAsia="Times New Roman" w:hAnsi="Tahoma" w:cs="B Badr" w:hint="cs"/>
          <w:sz w:val="20"/>
          <w:szCs w:val="20"/>
          <w:rtl/>
          <w:lang w:bidi="fa-IR"/>
        </w:rPr>
        <w:t>. سيستانى،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السادس.</w:t>
      </w:r>
    </w:p>
    <w:bookmarkStart w:id="198" w:name="_ftn8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[85]</w:t>
      </w:r>
      <w:r w:rsidRPr="005B4FA1">
        <w:rPr>
          <w:rFonts w:ascii="Tahoma" w:eastAsia="Times New Roman" w:hAnsi="Tahoma" w:cs="B Badr"/>
          <w:sz w:val="20"/>
          <w:szCs w:val="20"/>
          <w:rtl/>
        </w:rPr>
        <w:fldChar w:fldCharType="end"/>
      </w:r>
      <w:bookmarkEnd w:id="198"/>
      <w:r w:rsidRPr="005B4FA1">
        <w:rPr>
          <w:rFonts w:ascii="Tahoma" w:eastAsia="Times New Roman" w:hAnsi="Tahoma" w:cs="B Badr" w:hint="cs"/>
          <w:sz w:val="20"/>
          <w:szCs w:val="20"/>
          <w:rtl/>
          <w:lang w:bidi="fa-IR"/>
        </w:rPr>
        <w:t>.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م1402؛ مكارم، تعليقات على العروة، ج 2، الاعتكاف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1077.</w:t>
      </w:r>
    </w:p>
    <w:bookmarkStart w:id="199" w:name="_ftn8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[86]</w:t>
      </w:r>
      <w:r w:rsidRPr="005B4FA1">
        <w:rPr>
          <w:rFonts w:ascii="Tahoma" w:eastAsia="Times New Roman" w:hAnsi="Tahoma" w:cs="B Badr"/>
          <w:sz w:val="20"/>
          <w:szCs w:val="20"/>
          <w:rtl/>
        </w:rPr>
        <w:fldChar w:fldCharType="end"/>
      </w:r>
      <w:bookmarkEnd w:id="199"/>
      <w:r w:rsidRPr="005B4FA1">
        <w:rPr>
          <w:rFonts w:ascii="Tahoma" w:eastAsia="Times New Roman" w:hAnsi="Tahoma" w:cs="B Badr" w:hint="cs"/>
          <w:sz w:val="20"/>
          <w:szCs w:val="20"/>
          <w:rtl/>
          <w:lang w:bidi="fa-IR"/>
        </w:rPr>
        <w:t>. العروة الوثقى، ج 2 الاعتكاف، الثامن.</w:t>
      </w:r>
    </w:p>
    <w:bookmarkStart w:id="200" w:name="_ftn8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[87]</w:t>
      </w:r>
      <w:r w:rsidRPr="005B4FA1">
        <w:rPr>
          <w:rFonts w:ascii="Tahoma" w:eastAsia="Times New Roman" w:hAnsi="Tahoma" w:cs="B Badr"/>
          <w:sz w:val="20"/>
          <w:szCs w:val="20"/>
          <w:rtl/>
        </w:rPr>
        <w:fldChar w:fldCharType="end"/>
      </w:r>
      <w:bookmarkEnd w:id="200"/>
      <w:r w:rsidRPr="005B4FA1">
        <w:rPr>
          <w:rFonts w:ascii="Tahoma" w:eastAsia="Times New Roman" w:hAnsi="Tahoma" w:cs="B Badr" w:hint="cs"/>
          <w:sz w:val="20"/>
          <w:szCs w:val="20"/>
          <w:rtl/>
          <w:lang w:bidi="fa-IR"/>
        </w:rPr>
        <w:t>. امام و فاضل، تعليقات على العروة، ج 1، الاعتكاف، م 30؛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1412؛ بهجت، وسيله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النجاة، ج 1، 1203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01" w:name="_ftn8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[88]</w:t>
      </w:r>
      <w:r w:rsidRPr="005B4FA1">
        <w:rPr>
          <w:rFonts w:ascii="Tahoma" w:eastAsia="Times New Roman" w:hAnsi="Tahoma" w:cs="B Badr"/>
          <w:sz w:val="20"/>
          <w:szCs w:val="20"/>
          <w:rtl/>
        </w:rPr>
        <w:fldChar w:fldCharType="end"/>
      </w:r>
      <w:bookmarkEnd w:id="201"/>
      <w:r w:rsidRPr="005B4FA1">
        <w:rPr>
          <w:rFonts w:ascii="Tahoma" w:eastAsia="Times New Roman" w:hAnsi="Tahoma" w:cs="B Badr" w:hint="cs"/>
          <w:sz w:val="20"/>
          <w:szCs w:val="20"/>
          <w:rtl/>
          <w:lang w:bidi="fa-IR"/>
        </w:rPr>
        <w:t>. نورى و مكارم، تعليقات على العروة، ج 1، الاعتكاف، م 30؛ تبريزى، وحيد و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السادس.</w:t>
      </w:r>
    </w:p>
    <w:bookmarkStart w:id="202" w:name="_ftn8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"_ftnref89"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[89]</w:t>
      </w:r>
      <w:r w:rsidRPr="005B4FA1">
        <w:rPr>
          <w:rFonts w:ascii="Tahoma" w:eastAsia="Times New Roman" w:hAnsi="Tahoma" w:cs="B Badr"/>
          <w:sz w:val="20"/>
          <w:szCs w:val="20"/>
          <w:rtl/>
        </w:rPr>
        <w:fldChar w:fldCharType="end"/>
      </w:r>
      <w:bookmarkEnd w:id="202"/>
      <w:r w:rsidRPr="005B4FA1">
        <w:rPr>
          <w:rFonts w:ascii="Tahoma" w:eastAsia="Times New Roman" w:hAnsi="Tahoma" w:cs="B Badr" w:hint="cs"/>
          <w:sz w:val="20"/>
          <w:szCs w:val="20"/>
          <w:rtl/>
          <w:lang w:bidi="fa-IR"/>
        </w:rPr>
        <w:t>. العروة الوثقى، ج 1، الاعتكاف، م 30 و اللمعة الدمشقيه، ج 2، ص 150.</w:t>
      </w:r>
    </w:p>
    <w:bookmarkStart w:id="203" w:name="_ftn9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[90]</w:t>
      </w:r>
      <w:r w:rsidRPr="005B4FA1">
        <w:rPr>
          <w:rFonts w:ascii="Tahoma" w:eastAsia="Times New Roman" w:hAnsi="Tahoma" w:cs="B Badr"/>
          <w:sz w:val="20"/>
          <w:szCs w:val="20"/>
          <w:rtl/>
        </w:rPr>
        <w:fldChar w:fldCharType="end"/>
      </w:r>
      <w:bookmarkEnd w:id="203"/>
      <w:r w:rsidRPr="005B4FA1">
        <w:rPr>
          <w:rFonts w:ascii="Tahoma" w:eastAsia="Times New Roman" w:hAnsi="Tahoma" w:cs="B Badr" w:hint="cs"/>
          <w:sz w:val="20"/>
          <w:szCs w:val="20"/>
          <w:rtl/>
          <w:lang w:bidi="fa-IR"/>
        </w:rPr>
        <w:t>. العروة الوثقى، ج 2، الاعتكاف، م 30.</w:t>
      </w:r>
    </w:p>
    <w:bookmarkStart w:id="204" w:name="_ftn9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[91]</w:t>
      </w:r>
      <w:r w:rsidRPr="005B4FA1">
        <w:rPr>
          <w:rFonts w:ascii="Tahoma" w:eastAsia="Times New Roman" w:hAnsi="Tahoma" w:cs="B Badr"/>
          <w:sz w:val="20"/>
          <w:szCs w:val="20"/>
          <w:rtl/>
        </w:rPr>
        <w:fldChar w:fldCharType="end"/>
      </w:r>
      <w:bookmarkEnd w:id="204"/>
      <w:r w:rsidRPr="005B4FA1">
        <w:rPr>
          <w:rFonts w:ascii="Tahoma" w:eastAsia="Times New Roman" w:hAnsi="Tahoma" w:cs="B Badr" w:hint="cs"/>
          <w:sz w:val="20"/>
          <w:szCs w:val="20"/>
          <w:rtl/>
          <w:lang w:bidi="fa-IR"/>
        </w:rPr>
        <w:t>. نورى، استفتائات، ج 2، س 276؛ سيستانى، سايت، اعتكاف؛ صافى، جامع</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الاحكام، ج 1، س 515؛ فاضل، جامع</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ج 2، س 462 و دفتر: امام،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 مكارم، تبريزى، وحيد و بهجت.</w:t>
      </w:r>
    </w:p>
    <w:bookmarkStart w:id="205" w:name="_ftn9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[92]</w:t>
      </w:r>
      <w:r w:rsidRPr="005B4FA1">
        <w:rPr>
          <w:rFonts w:ascii="Tahoma" w:eastAsia="Times New Roman" w:hAnsi="Tahoma" w:cs="B Badr"/>
          <w:sz w:val="20"/>
          <w:szCs w:val="20"/>
          <w:rtl/>
        </w:rPr>
        <w:fldChar w:fldCharType="end"/>
      </w:r>
      <w:bookmarkEnd w:id="205"/>
      <w:r w:rsidRPr="005B4FA1">
        <w:rPr>
          <w:rFonts w:ascii="Tahoma" w:eastAsia="Times New Roman" w:hAnsi="Tahoma" w:cs="B Badr" w:hint="cs"/>
          <w:sz w:val="20"/>
          <w:szCs w:val="20"/>
          <w:rtl/>
          <w:lang w:bidi="fa-IR"/>
        </w:rPr>
        <w:t>. امام، تحريرالوسيله، ج 1، شروط الاعتكاف، م 9؛ سيستانى، تعليقات على العروة، شرائط الاعتكاف، م 30؛ بهجت، وسيله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النجاة، ج 1، م 1203؛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1412؛ مكارم، استفتائات، ج 2، س 494 و فاضل، جامع</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ج 1، س 619</w:t>
      </w:r>
      <w:r w:rsidRPr="005B4FA1">
        <w:rPr>
          <w:rFonts w:ascii="Tahoma" w:eastAsia="Times New Roman" w:hAnsi="Tahoma" w:cs="B Badr" w:hint="cs"/>
          <w:sz w:val="20"/>
          <w:szCs w:val="20"/>
          <w:rtl/>
        </w:rPr>
        <w:t> </w:t>
      </w:r>
    </w:p>
    <w:bookmarkStart w:id="206" w:name="_ftn9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[93]</w:t>
      </w:r>
      <w:r w:rsidRPr="005B4FA1">
        <w:rPr>
          <w:rFonts w:ascii="Tahoma" w:eastAsia="Times New Roman" w:hAnsi="Tahoma" w:cs="B Badr"/>
          <w:sz w:val="20"/>
          <w:szCs w:val="20"/>
          <w:rtl/>
        </w:rPr>
        <w:fldChar w:fldCharType="end"/>
      </w:r>
      <w:bookmarkEnd w:id="206"/>
      <w:r w:rsidRPr="005B4FA1">
        <w:rPr>
          <w:rFonts w:ascii="Tahoma" w:eastAsia="Times New Roman" w:hAnsi="Tahoma" w:cs="B Badr" w:hint="cs"/>
          <w:sz w:val="20"/>
          <w:szCs w:val="20"/>
          <w:rtl/>
          <w:lang w:bidi="fa-IR"/>
        </w:rPr>
        <w:t>.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ج 2، الاعتكاف، السادس و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ج 1، الاعتكاف،السادس.</w:t>
      </w:r>
    </w:p>
    <w:bookmarkStart w:id="207" w:name="_ftn9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[94]</w:t>
      </w:r>
      <w:r w:rsidRPr="005B4FA1">
        <w:rPr>
          <w:rFonts w:ascii="Tahoma" w:eastAsia="Times New Roman" w:hAnsi="Tahoma" w:cs="B Badr"/>
          <w:sz w:val="20"/>
          <w:szCs w:val="20"/>
          <w:rtl/>
        </w:rPr>
        <w:fldChar w:fldCharType="end"/>
      </w:r>
      <w:bookmarkEnd w:id="207"/>
      <w:r w:rsidRPr="005B4FA1">
        <w:rPr>
          <w:rFonts w:ascii="Tahoma" w:eastAsia="Times New Roman" w:hAnsi="Tahoma" w:cs="B Badr" w:hint="cs"/>
          <w:sz w:val="20"/>
          <w:szCs w:val="20"/>
          <w:rtl/>
          <w:lang w:bidi="fa-IR"/>
        </w:rPr>
        <w:t>. دفتر: نورى.</w:t>
      </w:r>
    </w:p>
    <w:bookmarkStart w:id="208" w:name="_ftn9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[95]</w:t>
      </w:r>
      <w:r w:rsidRPr="005B4FA1">
        <w:rPr>
          <w:rFonts w:ascii="Tahoma" w:eastAsia="Times New Roman" w:hAnsi="Tahoma" w:cs="B Badr"/>
          <w:sz w:val="20"/>
          <w:szCs w:val="20"/>
          <w:rtl/>
        </w:rPr>
        <w:fldChar w:fldCharType="end"/>
      </w:r>
      <w:bookmarkEnd w:id="208"/>
      <w:r w:rsidRPr="005B4FA1">
        <w:rPr>
          <w:rFonts w:ascii="Tahoma" w:eastAsia="Times New Roman" w:hAnsi="Tahoma" w:cs="B Badr" w:hint="cs"/>
          <w:sz w:val="20"/>
          <w:szCs w:val="20"/>
          <w:rtl/>
          <w:lang w:bidi="fa-IR"/>
        </w:rPr>
        <w:t>. امام، فاضل و نورى، تعليقات على العروة، ج 2، الاعتكاف، م 32؛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م1077.</w:t>
      </w:r>
    </w:p>
    <w:bookmarkStart w:id="209" w:name="_ftn9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[96]</w:t>
      </w:r>
      <w:r w:rsidRPr="005B4FA1">
        <w:rPr>
          <w:rFonts w:ascii="Tahoma" w:eastAsia="Times New Roman" w:hAnsi="Tahoma" w:cs="B Badr"/>
          <w:sz w:val="20"/>
          <w:szCs w:val="20"/>
          <w:rtl/>
        </w:rPr>
        <w:fldChar w:fldCharType="end"/>
      </w:r>
      <w:bookmarkEnd w:id="209"/>
      <w:r w:rsidRPr="005B4FA1">
        <w:rPr>
          <w:rFonts w:ascii="Tahoma" w:eastAsia="Times New Roman" w:hAnsi="Tahoma" w:cs="B Badr" w:hint="cs"/>
          <w:sz w:val="20"/>
          <w:szCs w:val="20"/>
          <w:rtl/>
          <w:lang w:bidi="fa-IR"/>
        </w:rPr>
        <w:t>. بهجت، وسيلة النجاة، ج 1، م 1205.</w:t>
      </w:r>
    </w:p>
    <w:bookmarkStart w:id="210" w:name="_ftn9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[97]</w:t>
      </w:r>
      <w:r w:rsidRPr="005B4FA1">
        <w:rPr>
          <w:rFonts w:ascii="Tahoma" w:eastAsia="Times New Roman" w:hAnsi="Tahoma" w:cs="B Badr"/>
          <w:sz w:val="20"/>
          <w:szCs w:val="20"/>
          <w:rtl/>
        </w:rPr>
        <w:fldChar w:fldCharType="end"/>
      </w:r>
      <w:bookmarkEnd w:id="210"/>
      <w:r w:rsidRPr="005B4FA1">
        <w:rPr>
          <w:rFonts w:ascii="Tahoma" w:eastAsia="Times New Roman" w:hAnsi="Tahoma" w:cs="B Badr" w:hint="cs"/>
          <w:sz w:val="20"/>
          <w:szCs w:val="20"/>
          <w:rtl/>
          <w:lang w:bidi="fa-IR"/>
        </w:rPr>
        <w:t>.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م1414؛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1077.</w:t>
      </w:r>
    </w:p>
    <w:bookmarkStart w:id="211" w:name="_ftn9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[98]</w:t>
      </w:r>
      <w:r w:rsidRPr="005B4FA1">
        <w:rPr>
          <w:rFonts w:ascii="Tahoma" w:eastAsia="Times New Roman" w:hAnsi="Tahoma" w:cs="B Badr"/>
          <w:sz w:val="20"/>
          <w:szCs w:val="20"/>
          <w:rtl/>
        </w:rPr>
        <w:fldChar w:fldCharType="end"/>
      </w:r>
      <w:bookmarkEnd w:id="211"/>
      <w:r w:rsidRPr="005B4FA1">
        <w:rPr>
          <w:rFonts w:ascii="Tahoma" w:eastAsia="Times New Roman" w:hAnsi="Tahoma" w:cs="B Badr" w:hint="cs"/>
          <w:sz w:val="20"/>
          <w:szCs w:val="20"/>
          <w:rtl/>
          <w:lang w:bidi="fa-IR"/>
        </w:rPr>
        <w:t>. مكارم، استفتائات، ج 2، س 508؛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1077.</w:t>
      </w:r>
    </w:p>
    <w:bookmarkStart w:id="212" w:name="_ftn9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"_ftnref99"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[99]</w:t>
      </w:r>
      <w:r w:rsidRPr="005B4FA1">
        <w:rPr>
          <w:rFonts w:ascii="Tahoma" w:eastAsia="Times New Roman" w:hAnsi="Tahoma" w:cs="B Badr"/>
          <w:sz w:val="20"/>
          <w:szCs w:val="20"/>
          <w:rtl/>
        </w:rPr>
        <w:fldChar w:fldCharType="end"/>
      </w:r>
      <w:bookmarkEnd w:id="212"/>
      <w:r w:rsidRPr="005B4FA1">
        <w:rPr>
          <w:rFonts w:ascii="Tahoma" w:eastAsia="Times New Roman" w:hAnsi="Tahoma" w:cs="B Badr" w:hint="cs"/>
          <w:sz w:val="20"/>
          <w:szCs w:val="20"/>
          <w:rtl/>
          <w:lang w:bidi="fa-IR"/>
        </w:rPr>
        <w:t>. دفتر: همه مراجع.</w:t>
      </w:r>
    </w:p>
    <w:bookmarkStart w:id="213" w:name="_ftn10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[100]</w:t>
      </w:r>
      <w:r w:rsidRPr="005B4FA1">
        <w:rPr>
          <w:rFonts w:ascii="Tahoma" w:eastAsia="Times New Roman" w:hAnsi="Tahoma" w:cs="B Badr"/>
          <w:sz w:val="20"/>
          <w:szCs w:val="20"/>
          <w:rtl/>
        </w:rPr>
        <w:fldChar w:fldCharType="end"/>
      </w:r>
      <w:bookmarkEnd w:id="213"/>
      <w:r w:rsidRPr="005B4FA1">
        <w:rPr>
          <w:rFonts w:ascii="Tahoma" w:eastAsia="Times New Roman" w:hAnsi="Tahoma" w:cs="B Badr" w:hint="cs"/>
          <w:sz w:val="20"/>
          <w:szCs w:val="20"/>
          <w:rtl/>
          <w:lang w:bidi="fa-IR"/>
        </w:rPr>
        <w:t>. امام، نورى، فاضل و مكارم، تعليقات على العروة، ج 1، الاعتكاف، الثامن؛ بهجت، وسيلة النجاة، ج 1، 1204؛ تبريزى، وحيد و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م 1073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14" w:name="_ftn10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[101]</w:t>
      </w:r>
      <w:r w:rsidRPr="005B4FA1">
        <w:rPr>
          <w:rFonts w:ascii="Tahoma" w:eastAsia="Times New Roman" w:hAnsi="Tahoma" w:cs="B Badr"/>
          <w:sz w:val="20"/>
          <w:szCs w:val="20"/>
          <w:rtl/>
        </w:rPr>
        <w:fldChar w:fldCharType="end"/>
      </w:r>
      <w:bookmarkEnd w:id="214"/>
      <w:r w:rsidRPr="005B4FA1">
        <w:rPr>
          <w:rFonts w:ascii="Tahoma" w:eastAsia="Times New Roman" w:hAnsi="Tahoma" w:cs="B Badr" w:hint="cs"/>
          <w:sz w:val="20"/>
          <w:szCs w:val="20"/>
          <w:rtl/>
          <w:lang w:bidi="fa-IR"/>
        </w:rPr>
        <w:t>.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1403.</w:t>
      </w:r>
    </w:p>
    <w:bookmarkStart w:id="215" w:name="_ftn10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[102]</w:t>
      </w:r>
      <w:r w:rsidRPr="005B4FA1">
        <w:rPr>
          <w:rFonts w:ascii="Tahoma" w:eastAsia="Times New Roman" w:hAnsi="Tahoma" w:cs="B Badr"/>
          <w:sz w:val="20"/>
          <w:szCs w:val="20"/>
          <w:rtl/>
        </w:rPr>
        <w:fldChar w:fldCharType="end"/>
      </w:r>
      <w:bookmarkEnd w:id="215"/>
      <w:r w:rsidRPr="005B4FA1">
        <w:rPr>
          <w:rFonts w:ascii="Tahoma" w:eastAsia="Times New Roman" w:hAnsi="Tahoma" w:cs="B Badr" w:hint="cs"/>
          <w:sz w:val="20"/>
          <w:szCs w:val="20"/>
          <w:rtl/>
          <w:lang w:bidi="fa-IR"/>
        </w:rPr>
        <w:t>. امام، نورى، فاضل، مكارم، تعليقات على العروة، ج 1، احكام الاعتكاف، م 9؛ بهجت، وسيلة النجاة، ج 1، 1204؛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1413 و دفتر: تبريزى، وحيد، سيستانى و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16" w:name="_ftn10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[103]</w:t>
      </w:r>
      <w:r w:rsidRPr="005B4FA1">
        <w:rPr>
          <w:rFonts w:ascii="Tahoma" w:eastAsia="Times New Roman" w:hAnsi="Tahoma" w:cs="B Badr"/>
          <w:sz w:val="20"/>
          <w:szCs w:val="20"/>
          <w:rtl/>
        </w:rPr>
        <w:fldChar w:fldCharType="end"/>
      </w:r>
      <w:bookmarkEnd w:id="216"/>
      <w:r w:rsidRPr="005B4FA1">
        <w:rPr>
          <w:rFonts w:ascii="Tahoma" w:eastAsia="Times New Roman" w:hAnsi="Tahoma" w:cs="B Badr" w:hint="cs"/>
          <w:sz w:val="20"/>
          <w:szCs w:val="20"/>
          <w:rtl/>
          <w:lang w:bidi="fa-IR"/>
        </w:rPr>
        <w:t>. امام، فاضل، مكارم، سيستانى و نورى، تعليقات على</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العروة، احكام الاعتكاف، م 5؛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ج1، م 1424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17" w:name="_ftn104"/>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"_ftnref104"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[104]</w:t>
      </w:r>
      <w:r w:rsidRPr="005B4FA1">
        <w:rPr>
          <w:rFonts w:ascii="Tahoma" w:eastAsia="Times New Roman" w:hAnsi="Tahoma" w:cs="B Badr"/>
          <w:sz w:val="20"/>
          <w:szCs w:val="20"/>
          <w:rtl/>
        </w:rPr>
        <w:fldChar w:fldCharType="end"/>
      </w:r>
      <w:bookmarkEnd w:id="217"/>
      <w:r w:rsidRPr="005B4FA1">
        <w:rPr>
          <w:rFonts w:ascii="Tahoma" w:eastAsia="Times New Roman" w:hAnsi="Tahoma" w:cs="B Badr" w:hint="cs"/>
          <w:sz w:val="20"/>
          <w:szCs w:val="20"/>
          <w:rtl/>
          <w:lang w:bidi="fa-IR"/>
        </w:rPr>
        <w:t>. تبريزى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احكام الاعتكاف، م 1082.</w:t>
      </w:r>
    </w:p>
    <w:bookmarkStart w:id="218" w:name="_ftn105"/>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"_ftnref105"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[105]</w:t>
      </w:r>
      <w:r w:rsidRPr="005B4FA1">
        <w:rPr>
          <w:rFonts w:ascii="Tahoma" w:eastAsia="Times New Roman" w:hAnsi="Tahoma" w:cs="B Badr"/>
          <w:sz w:val="20"/>
          <w:szCs w:val="20"/>
          <w:rtl/>
        </w:rPr>
        <w:fldChar w:fldCharType="end"/>
      </w:r>
      <w:bookmarkEnd w:id="218"/>
      <w:r w:rsidRPr="005B4FA1">
        <w:rPr>
          <w:rFonts w:ascii="Tahoma" w:eastAsia="Times New Roman" w:hAnsi="Tahoma" w:cs="B Badr" w:hint="cs"/>
          <w:sz w:val="20"/>
          <w:szCs w:val="20"/>
          <w:rtl/>
          <w:lang w:bidi="fa-IR"/>
        </w:rPr>
        <w:t>. امام و فاضل، تعليقات على العروة، ج 2، احكام الاعتكاف م 3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19" w:name="_ftn106"/>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"_ftnref106"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[106]</w:t>
      </w:r>
      <w:r w:rsidRPr="005B4FA1">
        <w:rPr>
          <w:rFonts w:ascii="Tahoma" w:eastAsia="Times New Roman" w:hAnsi="Tahoma" w:cs="B Badr"/>
          <w:sz w:val="20"/>
          <w:szCs w:val="20"/>
          <w:rtl/>
        </w:rPr>
        <w:fldChar w:fldCharType="end"/>
      </w:r>
      <w:bookmarkEnd w:id="219"/>
      <w:r w:rsidRPr="005B4FA1">
        <w:rPr>
          <w:rFonts w:ascii="Tahoma" w:eastAsia="Times New Roman" w:hAnsi="Tahoma" w:cs="B Badr" w:hint="cs"/>
          <w:sz w:val="20"/>
          <w:szCs w:val="20"/>
          <w:rtl/>
          <w:lang w:bidi="fa-IR"/>
        </w:rPr>
        <w:t>.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1423 و بهجت، وسيلة النجاة، ج 1، م 1210.</w:t>
      </w:r>
    </w:p>
    <w:bookmarkStart w:id="220" w:name="_ftn107"/>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"_ftnref107"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[107]</w:t>
      </w:r>
      <w:r w:rsidRPr="005B4FA1">
        <w:rPr>
          <w:rFonts w:ascii="Tahoma" w:eastAsia="Times New Roman" w:hAnsi="Tahoma" w:cs="B Badr"/>
          <w:sz w:val="20"/>
          <w:szCs w:val="20"/>
          <w:rtl/>
        </w:rPr>
        <w:fldChar w:fldCharType="end"/>
      </w:r>
      <w:bookmarkEnd w:id="220"/>
      <w:r w:rsidRPr="005B4FA1">
        <w:rPr>
          <w:rFonts w:ascii="Tahoma" w:eastAsia="Times New Roman" w:hAnsi="Tahoma" w:cs="B Badr" w:hint="cs"/>
          <w:sz w:val="20"/>
          <w:szCs w:val="20"/>
          <w:rtl/>
          <w:lang w:bidi="fa-IR"/>
        </w:rPr>
        <w:t>. تبريزى،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1080.</w:t>
      </w:r>
    </w:p>
    <w:bookmarkStart w:id="221" w:name="_ftn108"/>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"_ftnref108"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[108]</w:t>
      </w:r>
      <w:r w:rsidRPr="005B4FA1">
        <w:rPr>
          <w:rFonts w:ascii="Tahoma" w:eastAsia="Times New Roman" w:hAnsi="Tahoma" w:cs="B Badr"/>
          <w:sz w:val="20"/>
          <w:szCs w:val="20"/>
          <w:rtl/>
        </w:rPr>
        <w:fldChar w:fldCharType="end"/>
      </w:r>
      <w:bookmarkEnd w:id="221"/>
      <w:r w:rsidRPr="005B4FA1">
        <w:rPr>
          <w:rFonts w:ascii="Tahoma" w:eastAsia="Times New Roman" w:hAnsi="Tahoma" w:cs="B Badr" w:hint="cs"/>
          <w:sz w:val="20"/>
          <w:szCs w:val="20"/>
          <w:rtl/>
          <w:lang w:bidi="fa-IR"/>
        </w:rPr>
        <w:t>. نورى و مكارم، تعليقات على العروة، ج 2، احكام الاعتكاف م 3 ؛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الاعتكاف، م 1080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22" w:name="_ftn109"/>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"_ftnref109"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[109]</w:t>
      </w:r>
      <w:r w:rsidRPr="005B4FA1">
        <w:rPr>
          <w:rFonts w:ascii="Tahoma" w:eastAsia="Times New Roman" w:hAnsi="Tahoma" w:cs="B Badr"/>
          <w:sz w:val="20"/>
          <w:szCs w:val="20"/>
          <w:rtl/>
        </w:rPr>
        <w:fldChar w:fldCharType="end"/>
      </w:r>
      <w:bookmarkEnd w:id="222"/>
      <w:r w:rsidRPr="005B4FA1">
        <w:rPr>
          <w:rFonts w:ascii="Tahoma" w:eastAsia="Times New Roman" w:hAnsi="Tahoma" w:cs="B Badr" w:hint="cs"/>
          <w:sz w:val="20"/>
          <w:szCs w:val="20"/>
          <w:rtl/>
          <w:lang w:bidi="fa-IR"/>
        </w:rPr>
        <w:t>.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مراجع، م 1646 ؛ وحيد، توضيح</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المسائل، م 1654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23" w:name="_ftn110"/>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lastRenderedPageBreak/>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"_ftnref110"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[110]</w:t>
      </w:r>
      <w:r w:rsidRPr="005B4FA1">
        <w:rPr>
          <w:rFonts w:ascii="Tahoma" w:eastAsia="Times New Roman" w:hAnsi="Tahoma" w:cs="B Badr"/>
          <w:sz w:val="20"/>
          <w:szCs w:val="20"/>
          <w:rtl/>
        </w:rPr>
        <w:fldChar w:fldCharType="end"/>
      </w:r>
      <w:bookmarkEnd w:id="223"/>
      <w:r w:rsidRPr="005B4FA1">
        <w:rPr>
          <w:rFonts w:ascii="Tahoma" w:eastAsia="Times New Roman" w:hAnsi="Tahoma" w:cs="B Badr" w:hint="cs"/>
          <w:sz w:val="20"/>
          <w:szCs w:val="20"/>
          <w:rtl/>
          <w:lang w:bidi="fa-IR"/>
        </w:rPr>
        <w:t>. امام، نورى، فاضل، مكارم، تعليقات على العروة، ج 1، احكام الاعتكاف، م 9؛ بهجت، وسيلة النجاة، ج 1، 1211؛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1426؛ تبريزى، وحيد و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م 1084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24" w:name="_ftn111"/>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"_ftnref111"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[111]</w:t>
      </w:r>
      <w:r w:rsidRPr="005B4FA1">
        <w:rPr>
          <w:rFonts w:ascii="Tahoma" w:eastAsia="Times New Roman" w:hAnsi="Tahoma" w:cs="B Badr"/>
          <w:sz w:val="20"/>
          <w:szCs w:val="20"/>
          <w:rtl/>
        </w:rPr>
        <w:fldChar w:fldCharType="end"/>
      </w:r>
      <w:bookmarkEnd w:id="224"/>
      <w:r w:rsidRPr="005B4FA1">
        <w:rPr>
          <w:rFonts w:ascii="Tahoma" w:eastAsia="Times New Roman" w:hAnsi="Tahoma" w:cs="B Badr" w:hint="cs"/>
          <w:sz w:val="20"/>
          <w:szCs w:val="20"/>
          <w:rtl/>
          <w:lang w:bidi="fa-IR"/>
        </w:rPr>
        <w:t>. امام، نورى، فاضل، مكارم، تعليقات على العروة، ج 1، احكام الاعتكاف، م 9؛ بهجت، وسيلة النجاة، ج 1، 1211؛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1426؛ تبريزى، وحيد و سيستانى،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م 1084 و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25" w:name="_ftn112"/>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"_ftnref112"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[112]</w:t>
      </w:r>
      <w:r w:rsidRPr="005B4FA1">
        <w:rPr>
          <w:rFonts w:ascii="Tahoma" w:eastAsia="Times New Roman" w:hAnsi="Tahoma" w:cs="B Badr"/>
          <w:sz w:val="20"/>
          <w:szCs w:val="20"/>
          <w:rtl/>
        </w:rPr>
        <w:fldChar w:fldCharType="end"/>
      </w:r>
      <w:bookmarkEnd w:id="225"/>
      <w:r w:rsidRPr="005B4FA1">
        <w:rPr>
          <w:rFonts w:ascii="Tahoma" w:eastAsia="Times New Roman" w:hAnsi="Tahoma" w:cs="B Badr" w:hint="cs"/>
          <w:sz w:val="20"/>
          <w:szCs w:val="20"/>
          <w:rtl/>
          <w:lang w:bidi="fa-IR"/>
        </w:rPr>
        <w:t>. امام، نورى، فاضل و مكارم، تعليقات على العروة، ج 1، احكام الاعتكاف، م 5؛ بهجت، وسيلة النجاة، ج 1، 1210؛ صافى، هدايه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العباد، ج 1، م 1424؛ دفتر: خامنه</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اى.</w:t>
      </w:r>
    </w:p>
    <w:bookmarkStart w:id="226" w:name="_ftn113"/>
    <w:p w:rsidR="00C34D7E" w:rsidRPr="005B4FA1" w:rsidRDefault="00C34D7E" w:rsidP="00C34D7E">
      <w:pPr>
        <w:autoSpaceDE w:val="0"/>
        <w:autoSpaceDN w:val="0"/>
        <w:bidi/>
        <w:spacing w:after="0" w:line="270" w:lineRule="atLeast"/>
        <w:ind w:left="150"/>
        <w:rPr>
          <w:rFonts w:ascii="Times New Roman" w:eastAsia="Times New Roman" w:hAnsi="Times New Roman" w:cs="B Badr"/>
          <w:sz w:val="28"/>
          <w:szCs w:val="32"/>
          <w:rtl/>
        </w:rPr>
      </w:pPr>
      <w:r w:rsidRPr="005B4FA1">
        <w:rPr>
          <w:rFonts w:ascii="Tahoma" w:eastAsia="Times New Roman" w:hAnsi="Tahoma" w:cs="B Badr"/>
          <w:sz w:val="20"/>
          <w:szCs w:val="20"/>
          <w:rtl/>
        </w:rPr>
        <w:fldChar w:fldCharType="begin"/>
      </w:r>
      <w:r w:rsidRPr="005B4FA1">
        <w:rPr>
          <w:rFonts w:ascii="Tahoma" w:eastAsia="Times New Roman" w:hAnsi="Tahoma" w:cs="B Badr"/>
          <w:sz w:val="20"/>
          <w:szCs w:val="20"/>
          <w:rtl/>
        </w:rPr>
        <w:instrText xml:space="preserve"> </w:instrText>
      </w:r>
      <w:r w:rsidRPr="005B4FA1">
        <w:rPr>
          <w:rFonts w:ascii="Tahoma" w:eastAsia="Times New Roman" w:hAnsi="Tahoma" w:cs="B Badr"/>
          <w:sz w:val="20"/>
          <w:szCs w:val="20"/>
        </w:rPr>
        <w:instrText>HYPERLINK "http://www.porseman.org/showarticle.aspx?id=1245" \l "_ftnref113" \o</w:instrText>
      </w:r>
      <w:r w:rsidRPr="005B4FA1">
        <w:rPr>
          <w:rFonts w:ascii="Tahoma" w:eastAsia="Times New Roman" w:hAnsi="Tahoma" w:cs="B Badr"/>
          <w:sz w:val="20"/>
          <w:szCs w:val="20"/>
          <w:rtl/>
        </w:rPr>
        <w:instrText xml:space="preserve"> "" </w:instrText>
      </w:r>
      <w:r w:rsidRPr="005B4FA1">
        <w:rPr>
          <w:rFonts w:ascii="Tahoma" w:eastAsia="Times New Roman" w:hAnsi="Tahoma" w:cs="B Badr"/>
          <w:sz w:val="20"/>
          <w:szCs w:val="20"/>
          <w:rtl/>
        </w:rPr>
        <w:fldChar w:fldCharType="separate"/>
      </w:r>
      <w:r w:rsidRPr="005B4FA1">
        <w:rPr>
          <w:rFonts w:ascii="Tahoma" w:eastAsia="Times New Roman" w:hAnsi="Tahoma" w:cs="B Badr"/>
          <w:color w:val="0000FF"/>
          <w:sz w:val="26"/>
          <w:szCs w:val="20"/>
          <w:rtl/>
        </w:rPr>
        <w:t>[113]</w:t>
      </w:r>
      <w:r w:rsidRPr="005B4FA1">
        <w:rPr>
          <w:rFonts w:ascii="Tahoma" w:eastAsia="Times New Roman" w:hAnsi="Tahoma" w:cs="B Badr"/>
          <w:sz w:val="20"/>
          <w:szCs w:val="20"/>
          <w:rtl/>
        </w:rPr>
        <w:fldChar w:fldCharType="end"/>
      </w:r>
      <w:bookmarkEnd w:id="226"/>
      <w:r w:rsidRPr="005B4FA1">
        <w:rPr>
          <w:rFonts w:ascii="Tahoma" w:eastAsia="Times New Roman" w:hAnsi="Tahoma" w:cs="B Badr" w:hint="cs"/>
          <w:sz w:val="20"/>
          <w:szCs w:val="20"/>
          <w:rtl/>
          <w:lang w:bidi="fa-IR"/>
        </w:rPr>
        <w:t>. تبريزى، سيستانى و وحيد، منهاج</w:t>
      </w:r>
      <w:r w:rsidRPr="005B4FA1">
        <w:rPr>
          <w:rFonts w:ascii="Cambria Math" w:eastAsia="Times New Roman" w:hAnsi="Cambria Math" w:cs="B Badr" w:hint="cs"/>
          <w:sz w:val="20"/>
          <w:szCs w:val="20"/>
          <w:rtl/>
          <w:lang w:bidi="fa-IR"/>
        </w:rPr>
        <w:t> </w:t>
      </w:r>
      <w:r w:rsidRPr="005B4FA1">
        <w:rPr>
          <w:rFonts w:ascii="Tahoma" w:eastAsia="Times New Roman" w:hAnsi="Tahoma" w:cs="B Badr" w:hint="cs"/>
          <w:sz w:val="20"/>
          <w:szCs w:val="20"/>
          <w:rtl/>
          <w:lang w:bidi="fa-IR"/>
        </w:rPr>
        <w:t>الصالحين، م 1082.</w:t>
      </w:r>
    </w:p>
    <w:p w:rsidR="00862C75" w:rsidRPr="005B4FA1" w:rsidRDefault="00862C75" w:rsidP="00C34D7E">
      <w:pPr>
        <w:bidi/>
        <w:rPr>
          <w:rFonts w:cs="B Badr"/>
          <w:sz w:val="26"/>
          <w:szCs w:val="28"/>
        </w:rPr>
      </w:pPr>
    </w:p>
    <w:sectPr w:rsidR="00862C75" w:rsidRPr="005B4F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C34D7E"/>
    <w:rsid w:val="005B4FA1"/>
    <w:rsid w:val="00862C75"/>
    <w:rsid w:val="00C34D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4D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34D7E"/>
    <w:rPr>
      <w:color w:val="0000FF"/>
      <w:u w:val="single"/>
    </w:rPr>
  </w:style>
  <w:style w:type="character" w:styleId="FollowedHyperlink">
    <w:name w:val="FollowedHyperlink"/>
    <w:basedOn w:val="DefaultParagraphFont"/>
    <w:uiPriority w:val="99"/>
    <w:semiHidden/>
    <w:unhideWhenUsed/>
    <w:rsid w:val="00C34D7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0167">
      <w:bodyDiv w:val="1"/>
      <w:marLeft w:val="0"/>
      <w:marRight w:val="0"/>
      <w:marTop w:val="0"/>
      <w:marBottom w:val="0"/>
      <w:divBdr>
        <w:top w:val="none" w:sz="0" w:space="0" w:color="auto"/>
        <w:left w:val="none" w:sz="0" w:space="0" w:color="auto"/>
        <w:bottom w:val="none" w:sz="0" w:space="0" w:color="auto"/>
        <w:right w:val="none" w:sz="0" w:space="0" w:color="auto"/>
      </w:divBdr>
      <w:divsChild>
        <w:div w:id="1293903374">
          <w:marLeft w:val="0"/>
          <w:marRight w:val="0"/>
          <w:marTop w:val="0"/>
          <w:marBottom w:val="0"/>
          <w:divBdr>
            <w:top w:val="none" w:sz="0" w:space="0" w:color="auto"/>
            <w:left w:val="none" w:sz="0" w:space="0" w:color="auto"/>
            <w:bottom w:val="none" w:sz="0" w:space="0" w:color="auto"/>
            <w:right w:val="none" w:sz="0" w:space="0" w:color="auto"/>
          </w:divBdr>
        </w:div>
        <w:div w:id="1029642202">
          <w:marLeft w:val="0"/>
          <w:marRight w:val="0"/>
          <w:marTop w:val="0"/>
          <w:marBottom w:val="0"/>
          <w:divBdr>
            <w:top w:val="none" w:sz="0" w:space="0" w:color="auto"/>
            <w:left w:val="none" w:sz="0" w:space="0" w:color="auto"/>
            <w:bottom w:val="none" w:sz="0" w:space="0" w:color="auto"/>
            <w:right w:val="none" w:sz="0" w:space="0" w:color="auto"/>
          </w:divBdr>
          <w:divsChild>
            <w:div w:id="1291747048">
              <w:marLeft w:val="0"/>
              <w:marRight w:val="0"/>
              <w:marTop w:val="0"/>
              <w:marBottom w:val="0"/>
              <w:divBdr>
                <w:top w:val="none" w:sz="0" w:space="0" w:color="auto"/>
                <w:left w:val="none" w:sz="0" w:space="0" w:color="auto"/>
                <w:bottom w:val="none" w:sz="0" w:space="0" w:color="auto"/>
                <w:right w:val="none" w:sz="0" w:space="0" w:color="auto"/>
              </w:divBdr>
            </w:div>
            <w:div w:id="993875727">
              <w:marLeft w:val="0"/>
              <w:marRight w:val="0"/>
              <w:marTop w:val="0"/>
              <w:marBottom w:val="0"/>
              <w:divBdr>
                <w:top w:val="none" w:sz="0" w:space="0" w:color="auto"/>
                <w:left w:val="none" w:sz="0" w:space="0" w:color="auto"/>
                <w:bottom w:val="none" w:sz="0" w:space="0" w:color="auto"/>
                <w:right w:val="none" w:sz="0" w:space="0" w:color="auto"/>
              </w:divBdr>
            </w:div>
            <w:div w:id="2063677596">
              <w:marLeft w:val="0"/>
              <w:marRight w:val="0"/>
              <w:marTop w:val="0"/>
              <w:marBottom w:val="0"/>
              <w:divBdr>
                <w:top w:val="none" w:sz="0" w:space="0" w:color="auto"/>
                <w:left w:val="none" w:sz="0" w:space="0" w:color="auto"/>
                <w:bottom w:val="none" w:sz="0" w:space="0" w:color="auto"/>
                <w:right w:val="none" w:sz="0" w:space="0" w:color="auto"/>
              </w:divBdr>
            </w:div>
            <w:div w:id="1605574711">
              <w:marLeft w:val="0"/>
              <w:marRight w:val="0"/>
              <w:marTop w:val="0"/>
              <w:marBottom w:val="0"/>
              <w:divBdr>
                <w:top w:val="none" w:sz="0" w:space="0" w:color="auto"/>
                <w:left w:val="none" w:sz="0" w:space="0" w:color="auto"/>
                <w:bottom w:val="none" w:sz="0" w:space="0" w:color="auto"/>
                <w:right w:val="none" w:sz="0" w:space="0" w:color="auto"/>
              </w:divBdr>
            </w:div>
            <w:div w:id="2088795076">
              <w:marLeft w:val="0"/>
              <w:marRight w:val="0"/>
              <w:marTop w:val="0"/>
              <w:marBottom w:val="0"/>
              <w:divBdr>
                <w:top w:val="none" w:sz="0" w:space="0" w:color="auto"/>
                <w:left w:val="none" w:sz="0" w:space="0" w:color="auto"/>
                <w:bottom w:val="none" w:sz="0" w:space="0" w:color="auto"/>
                <w:right w:val="none" w:sz="0" w:space="0" w:color="auto"/>
              </w:divBdr>
            </w:div>
            <w:div w:id="987905113">
              <w:marLeft w:val="0"/>
              <w:marRight w:val="0"/>
              <w:marTop w:val="0"/>
              <w:marBottom w:val="0"/>
              <w:divBdr>
                <w:top w:val="none" w:sz="0" w:space="0" w:color="auto"/>
                <w:left w:val="none" w:sz="0" w:space="0" w:color="auto"/>
                <w:bottom w:val="none" w:sz="0" w:space="0" w:color="auto"/>
                <w:right w:val="none" w:sz="0" w:space="0" w:color="auto"/>
              </w:divBdr>
            </w:div>
            <w:div w:id="1018850136">
              <w:marLeft w:val="0"/>
              <w:marRight w:val="0"/>
              <w:marTop w:val="0"/>
              <w:marBottom w:val="0"/>
              <w:divBdr>
                <w:top w:val="none" w:sz="0" w:space="0" w:color="auto"/>
                <w:left w:val="none" w:sz="0" w:space="0" w:color="auto"/>
                <w:bottom w:val="none" w:sz="0" w:space="0" w:color="auto"/>
                <w:right w:val="none" w:sz="0" w:space="0" w:color="auto"/>
              </w:divBdr>
            </w:div>
            <w:div w:id="739016157">
              <w:marLeft w:val="0"/>
              <w:marRight w:val="0"/>
              <w:marTop w:val="0"/>
              <w:marBottom w:val="0"/>
              <w:divBdr>
                <w:top w:val="none" w:sz="0" w:space="0" w:color="auto"/>
                <w:left w:val="none" w:sz="0" w:space="0" w:color="auto"/>
                <w:bottom w:val="none" w:sz="0" w:space="0" w:color="auto"/>
                <w:right w:val="none" w:sz="0" w:space="0" w:color="auto"/>
              </w:divBdr>
            </w:div>
            <w:div w:id="901721415">
              <w:marLeft w:val="0"/>
              <w:marRight w:val="0"/>
              <w:marTop w:val="0"/>
              <w:marBottom w:val="0"/>
              <w:divBdr>
                <w:top w:val="none" w:sz="0" w:space="0" w:color="auto"/>
                <w:left w:val="none" w:sz="0" w:space="0" w:color="auto"/>
                <w:bottom w:val="none" w:sz="0" w:space="0" w:color="auto"/>
                <w:right w:val="none" w:sz="0" w:space="0" w:color="auto"/>
              </w:divBdr>
            </w:div>
            <w:div w:id="94600704">
              <w:marLeft w:val="0"/>
              <w:marRight w:val="0"/>
              <w:marTop w:val="0"/>
              <w:marBottom w:val="0"/>
              <w:divBdr>
                <w:top w:val="none" w:sz="0" w:space="0" w:color="auto"/>
                <w:left w:val="none" w:sz="0" w:space="0" w:color="auto"/>
                <w:bottom w:val="none" w:sz="0" w:space="0" w:color="auto"/>
                <w:right w:val="none" w:sz="0" w:space="0" w:color="auto"/>
              </w:divBdr>
            </w:div>
            <w:div w:id="91635693">
              <w:marLeft w:val="0"/>
              <w:marRight w:val="0"/>
              <w:marTop w:val="0"/>
              <w:marBottom w:val="0"/>
              <w:divBdr>
                <w:top w:val="none" w:sz="0" w:space="0" w:color="auto"/>
                <w:left w:val="none" w:sz="0" w:space="0" w:color="auto"/>
                <w:bottom w:val="none" w:sz="0" w:space="0" w:color="auto"/>
                <w:right w:val="none" w:sz="0" w:space="0" w:color="auto"/>
              </w:divBdr>
            </w:div>
            <w:div w:id="2067952826">
              <w:marLeft w:val="0"/>
              <w:marRight w:val="0"/>
              <w:marTop w:val="0"/>
              <w:marBottom w:val="0"/>
              <w:divBdr>
                <w:top w:val="none" w:sz="0" w:space="0" w:color="auto"/>
                <w:left w:val="none" w:sz="0" w:space="0" w:color="auto"/>
                <w:bottom w:val="none" w:sz="0" w:space="0" w:color="auto"/>
                <w:right w:val="none" w:sz="0" w:space="0" w:color="auto"/>
              </w:divBdr>
            </w:div>
            <w:div w:id="972372636">
              <w:marLeft w:val="0"/>
              <w:marRight w:val="0"/>
              <w:marTop w:val="0"/>
              <w:marBottom w:val="0"/>
              <w:divBdr>
                <w:top w:val="none" w:sz="0" w:space="0" w:color="auto"/>
                <w:left w:val="none" w:sz="0" w:space="0" w:color="auto"/>
                <w:bottom w:val="none" w:sz="0" w:space="0" w:color="auto"/>
                <w:right w:val="none" w:sz="0" w:space="0" w:color="auto"/>
              </w:divBdr>
            </w:div>
            <w:div w:id="248542384">
              <w:marLeft w:val="0"/>
              <w:marRight w:val="0"/>
              <w:marTop w:val="0"/>
              <w:marBottom w:val="0"/>
              <w:divBdr>
                <w:top w:val="none" w:sz="0" w:space="0" w:color="auto"/>
                <w:left w:val="none" w:sz="0" w:space="0" w:color="auto"/>
                <w:bottom w:val="none" w:sz="0" w:space="0" w:color="auto"/>
                <w:right w:val="none" w:sz="0" w:space="0" w:color="auto"/>
              </w:divBdr>
            </w:div>
            <w:div w:id="746389594">
              <w:marLeft w:val="0"/>
              <w:marRight w:val="0"/>
              <w:marTop w:val="0"/>
              <w:marBottom w:val="0"/>
              <w:divBdr>
                <w:top w:val="none" w:sz="0" w:space="0" w:color="auto"/>
                <w:left w:val="none" w:sz="0" w:space="0" w:color="auto"/>
                <w:bottom w:val="none" w:sz="0" w:space="0" w:color="auto"/>
                <w:right w:val="none" w:sz="0" w:space="0" w:color="auto"/>
              </w:divBdr>
            </w:div>
            <w:div w:id="162859380">
              <w:marLeft w:val="0"/>
              <w:marRight w:val="0"/>
              <w:marTop w:val="0"/>
              <w:marBottom w:val="0"/>
              <w:divBdr>
                <w:top w:val="none" w:sz="0" w:space="0" w:color="auto"/>
                <w:left w:val="none" w:sz="0" w:space="0" w:color="auto"/>
                <w:bottom w:val="none" w:sz="0" w:space="0" w:color="auto"/>
                <w:right w:val="none" w:sz="0" w:space="0" w:color="auto"/>
              </w:divBdr>
            </w:div>
            <w:div w:id="1130365266">
              <w:marLeft w:val="0"/>
              <w:marRight w:val="0"/>
              <w:marTop w:val="0"/>
              <w:marBottom w:val="0"/>
              <w:divBdr>
                <w:top w:val="none" w:sz="0" w:space="0" w:color="auto"/>
                <w:left w:val="none" w:sz="0" w:space="0" w:color="auto"/>
                <w:bottom w:val="none" w:sz="0" w:space="0" w:color="auto"/>
                <w:right w:val="none" w:sz="0" w:space="0" w:color="auto"/>
              </w:divBdr>
            </w:div>
            <w:div w:id="882257241">
              <w:marLeft w:val="0"/>
              <w:marRight w:val="0"/>
              <w:marTop w:val="0"/>
              <w:marBottom w:val="0"/>
              <w:divBdr>
                <w:top w:val="none" w:sz="0" w:space="0" w:color="auto"/>
                <w:left w:val="none" w:sz="0" w:space="0" w:color="auto"/>
                <w:bottom w:val="none" w:sz="0" w:space="0" w:color="auto"/>
                <w:right w:val="none" w:sz="0" w:space="0" w:color="auto"/>
              </w:divBdr>
            </w:div>
            <w:div w:id="1141264101">
              <w:marLeft w:val="0"/>
              <w:marRight w:val="0"/>
              <w:marTop w:val="0"/>
              <w:marBottom w:val="0"/>
              <w:divBdr>
                <w:top w:val="none" w:sz="0" w:space="0" w:color="auto"/>
                <w:left w:val="none" w:sz="0" w:space="0" w:color="auto"/>
                <w:bottom w:val="none" w:sz="0" w:space="0" w:color="auto"/>
                <w:right w:val="none" w:sz="0" w:space="0" w:color="auto"/>
              </w:divBdr>
            </w:div>
            <w:div w:id="912547182">
              <w:marLeft w:val="0"/>
              <w:marRight w:val="0"/>
              <w:marTop w:val="0"/>
              <w:marBottom w:val="0"/>
              <w:divBdr>
                <w:top w:val="none" w:sz="0" w:space="0" w:color="auto"/>
                <w:left w:val="none" w:sz="0" w:space="0" w:color="auto"/>
                <w:bottom w:val="none" w:sz="0" w:space="0" w:color="auto"/>
                <w:right w:val="none" w:sz="0" w:space="0" w:color="auto"/>
              </w:divBdr>
            </w:div>
            <w:div w:id="2000571938">
              <w:marLeft w:val="0"/>
              <w:marRight w:val="0"/>
              <w:marTop w:val="0"/>
              <w:marBottom w:val="0"/>
              <w:divBdr>
                <w:top w:val="none" w:sz="0" w:space="0" w:color="auto"/>
                <w:left w:val="none" w:sz="0" w:space="0" w:color="auto"/>
                <w:bottom w:val="none" w:sz="0" w:space="0" w:color="auto"/>
                <w:right w:val="none" w:sz="0" w:space="0" w:color="auto"/>
              </w:divBdr>
            </w:div>
            <w:div w:id="121730053">
              <w:marLeft w:val="0"/>
              <w:marRight w:val="0"/>
              <w:marTop w:val="0"/>
              <w:marBottom w:val="0"/>
              <w:divBdr>
                <w:top w:val="none" w:sz="0" w:space="0" w:color="auto"/>
                <w:left w:val="none" w:sz="0" w:space="0" w:color="auto"/>
                <w:bottom w:val="none" w:sz="0" w:space="0" w:color="auto"/>
                <w:right w:val="none" w:sz="0" w:space="0" w:color="auto"/>
              </w:divBdr>
            </w:div>
            <w:div w:id="414981952">
              <w:marLeft w:val="0"/>
              <w:marRight w:val="0"/>
              <w:marTop w:val="0"/>
              <w:marBottom w:val="0"/>
              <w:divBdr>
                <w:top w:val="none" w:sz="0" w:space="0" w:color="auto"/>
                <w:left w:val="none" w:sz="0" w:space="0" w:color="auto"/>
                <w:bottom w:val="none" w:sz="0" w:space="0" w:color="auto"/>
                <w:right w:val="none" w:sz="0" w:space="0" w:color="auto"/>
              </w:divBdr>
            </w:div>
            <w:div w:id="1895118339">
              <w:marLeft w:val="0"/>
              <w:marRight w:val="0"/>
              <w:marTop w:val="0"/>
              <w:marBottom w:val="0"/>
              <w:divBdr>
                <w:top w:val="none" w:sz="0" w:space="0" w:color="auto"/>
                <w:left w:val="none" w:sz="0" w:space="0" w:color="auto"/>
                <w:bottom w:val="none" w:sz="0" w:space="0" w:color="auto"/>
                <w:right w:val="none" w:sz="0" w:space="0" w:color="auto"/>
              </w:divBdr>
            </w:div>
            <w:div w:id="712923797">
              <w:marLeft w:val="0"/>
              <w:marRight w:val="0"/>
              <w:marTop w:val="0"/>
              <w:marBottom w:val="0"/>
              <w:divBdr>
                <w:top w:val="none" w:sz="0" w:space="0" w:color="auto"/>
                <w:left w:val="none" w:sz="0" w:space="0" w:color="auto"/>
                <w:bottom w:val="none" w:sz="0" w:space="0" w:color="auto"/>
                <w:right w:val="none" w:sz="0" w:space="0" w:color="auto"/>
              </w:divBdr>
            </w:div>
            <w:div w:id="385494417">
              <w:marLeft w:val="0"/>
              <w:marRight w:val="0"/>
              <w:marTop w:val="0"/>
              <w:marBottom w:val="0"/>
              <w:divBdr>
                <w:top w:val="none" w:sz="0" w:space="0" w:color="auto"/>
                <w:left w:val="none" w:sz="0" w:space="0" w:color="auto"/>
                <w:bottom w:val="none" w:sz="0" w:space="0" w:color="auto"/>
                <w:right w:val="none" w:sz="0" w:space="0" w:color="auto"/>
              </w:divBdr>
            </w:div>
            <w:div w:id="994072399">
              <w:marLeft w:val="0"/>
              <w:marRight w:val="0"/>
              <w:marTop w:val="0"/>
              <w:marBottom w:val="0"/>
              <w:divBdr>
                <w:top w:val="none" w:sz="0" w:space="0" w:color="auto"/>
                <w:left w:val="none" w:sz="0" w:space="0" w:color="auto"/>
                <w:bottom w:val="none" w:sz="0" w:space="0" w:color="auto"/>
                <w:right w:val="none" w:sz="0" w:space="0" w:color="auto"/>
              </w:divBdr>
            </w:div>
            <w:div w:id="305284360">
              <w:marLeft w:val="0"/>
              <w:marRight w:val="0"/>
              <w:marTop w:val="0"/>
              <w:marBottom w:val="0"/>
              <w:divBdr>
                <w:top w:val="none" w:sz="0" w:space="0" w:color="auto"/>
                <w:left w:val="none" w:sz="0" w:space="0" w:color="auto"/>
                <w:bottom w:val="none" w:sz="0" w:space="0" w:color="auto"/>
                <w:right w:val="none" w:sz="0" w:space="0" w:color="auto"/>
              </w:divBdr>
            </w:div>
            <w:div w:id="1788693321">
              <w:marLeft w:val="0"/>
              <w:marRight w:val="0"/>
              <w:marTop w:val="0"/>
              <w:marBottom w:val="0"/>
              <w:divBdr>
                <w:top w:val="none" w:sz="0" w:space="0" w:color="auto"/>
                <w:left w:val="none" w:sz="0" w:space="0" w:color="auto"/>
                <w:bottom w:val="none" w:sz="0" w:space="0" w:color="auto"/>
                <w:right w:val="none" w:sz="0" w:space="0" w:color="auto"/>
              </w:divBdr>
            </w:div>
            <w:div w:id="1559435655">
              <w:marLeft w:val="0"/>
              <w:marRight w:val="0"/>
              <w:marTop w:val="0"/>
              <w:marBottom w:val="0"/>
              <w:divBdr>
                <w:top w:val="none" w:sz="0" w:space="0" w:color="auto"/>
                <w:left w:val="none" w:sz="0" w:space="0" w:color="auto"/>
                <w:bottom w:val="none" w:sz="0" w:space="0" w:color="auto"/>
                <w:right w:val="none" w:sz="0" w:space="0" w:color="auto"/>
              </w:divBdr>
            </w:div>
            <w:div w:id="1633439695">
              <w:marLeft w:val="0"/>
              <w:marRight w:val="0"/>
              <w:marTop w:val="0"/>
              <w:marBottom w:val="0"/>
              <w:divBdr>
                <w:top w:val="none" w:sz="0" w:space="0" w:color="auto"/>
                <w:left w:val="none" w:sz="0" w:space="0" w:color="auto"/>
                <w:bottom w:val="none" w:sz="0" w:space="0" w:color="auto"/>
                <w:right w:val="none" w:sz="0" w:space="0" w:color="auto"/>
              </w:divBdr>
            </w:div>
            <w:div w:id="1530802889">
              <w:marLeft w:val="0"/>
              <w:marRight w:val="0"/>
              <w:marTop w:val="0"/>
              <w:marBottom w:val="0"/>
              <w:divBdr>
                <w:top w:val="none" w:sz="0" w:space="0" w:color="auto"/>
                <w:left w:val="none" w:sz="0" w:space="0" w:color="auto"/>
                <w:bottom w:val="none" w:sz="0" w:space="0" w:color="auto"/>
                <w:right w:val="none" w:sz="0" w:space="0" w:color="auto"/>
              </w:divBdr>
            </w:div>
            <w:div w:id="1471359339">
              <w:marLeft w:val="0"/>
              <w:marRight w:val="0"/>
              <w:marTop w:val="0"/>
              <w:marBottom w:val="0"/>
              <w:divBdr>
                <w:top w:val="none" w:sz="0" w:space="0" w:color="auto"/>
                <w:left w:val="none" w:sz="0" w:space="0" w:color="auto"/>
                <w:bottom w:val="none" w:sz="0" w:space="0" w:color="auto"/>
                <w:right w:val="none" w:sz="0" w:space="0" w:color="auto"/>
              </w:divBdr>
            </w:div>
            <w:div w:id="1901331201">
              <w:marLeft w:val="0"/>
              <w:marRight w:val="0"/>
              <w:marTop w:val="0"/>
              <w:marBottom w:val="0"/>
              <w:divBdr>
                <w:top w:val="none" w:sz="0" w:space="0" w:color="auto"/>
                <w:left w:val="none" w:sz="0" w:space="0" w:color="auto"/>
                <w:bottom w:val="none" w:sz="0" w:space="0" w:color="auto"/>
                <w:right w:val="none" w:sz="0" w:space="0" w:color="auto"/>
              </w:divBdr>
            </w:div>
            <w:div w:id="1029987776">
              <w:marLeft w:val="0"/>
              <w:marRight w:val="0"/>
              <w:marTop w:val="0"/>
              <w:marBottom w:val="0"/>
              <w:divBdr>
                <w:top w:val="none" w:sz="0" w:space="0" w:color="auto"/>
                <w:left w:val="none" w:sz="0" w:space="0" w:color="auto"/>
                <w:bottom w:val="none" w:sz="0" w:space="0" w:color="auto"/>
                <w:right w:val="none" w:sz="0" w:space="0" w:color="auto"/>
              </w:divBdr>
            </w:div>
            <w:div w:id="847403585">
              <w:marLeft w:val="0"/>
              <w:marRight w:val="0"/>
              <w:marTop w:val="0"/>
              <w:marBottom w:val="0"/>
              <w:divBdr>
                <w:top w:val="none" w:sz="0" w:space="0" w:color="auto"/>
                <w:left w:val="none" w:sz="0" w:space="0" w:color="auto"/>
                <w:bottom w:val="none" w:sz="0" w:space="0" w:color="auto"/>
                <w:right w:val="none" w:sz="0" w:space="0" w:color="auto"/>
              </w:divBdr>
            </w:div>
            <w:div w:id="227573734">
              <w:marLeft w:val="0"/>
              <w:marRight w:val="0"/>
              <w:marTop w:val="0"/>
              <w:marBottom w:val="0"/>
              <w:divBdr>
                <w:top w:val="none" w:sz="0" w:space="0" w:color="auto"/>
                <w:left w:val="none" w:sz="0" w:space="0" w:color="auto"/>
                <w:bottom w:val="none" w:sz="0" w:space="0" w:color="auto"/>
                <w:right w:val="none" w:sz="0" w:space="0" w:color="auto"/>
              </w:divBdr>
            </w:div>
            <w:div w:id="1214929680">
              <w:marLeft w:val="0"/>
              <w:marRight w:val="0"/>
              <w:marTop w:val="0"/>
              <w:marBottom w:val="0"/>
              <w:divBdr>
                <w:top w:val="none" w:sz="0" w:space="0" w:color="auto"/>
                <w:left w:val="none" w:sz="0" w:space="0" w:color="auto"/>
                <w:bottom w:val="none" w:sz="0" w:space="0" w:color="auto"/>
                <w:right w:val="none" w:sz="0" w:space="0" w:color="auto"/>
              </w:divBdr>
            </w:div>
            <w:div w:id="210307715">
              <w:marLeft w:val="0"/>
              <w:marRight w:val="0"/>
              <w:marTop w:val="0"/>
              <w:marBottom w:val="0"/>
              <w:divBdr>
                <w:top w:val="none" w:sz="0" w:space="0" w:color="auto"/>
                <w:left w:val="none" w:sz="0" w:space="0" w:color="auto"/>
                <w:bottom w:val="none" w:sz="0" w:space="0" w:color="auto"/>
                <w:right w:val="none" w:sz="0" w:space="0" w:color="auto"/>
              </w:divBdr>
            </w:div>
            <w:div w:id="1433208405">
              <w:marLeft w:val="0"/>
              <w:marRight w:val="0"/>
              <w:marTop w:val="0"/>
              <w:marBottom w:val="0"/>
              <w:divBdr>
                <w:top w:val="none" w:sz="0" w:space="0" w:color="auto"/>
                <w:left w:val="none" w:sz="0" w:space="0" w:color="auto"/>
                <w:bottom w:val="none" w:sz="0" w:space="0" w:color="auto"/>
                <w:right w:val="none" w:sz="0" w:space="0" w:color="auto"/>
              </w:divBdr>
            </w:div>
            <w:div w:id="2079938156">
              <w:marLeft w:val="0"/>
              <w:marRight w:val="0"/>
              <w:marTop w:val="0"/>
              <w:marBottom w:val="0"/>
              <w:divBdr>
                <w:top w:val="none" w:sz="0" w:space="0" w:color="auto"/>
                <w:left w:val="none" w:sz="0" w:space="0" w:color="auto"/>
                <w:bottom w:val="none" w:sz="0" w:space="0" w:color="auto"/>
                <w:right w:val="none" w:sz="0" w:space="0" w:color="auto"/>
              </w:divBdr>
            </w:div>
            <w:div w:id="206112980">
              <w:marLeft w:val="0"/>
              <w:marRight w:val="0"/>
              <w:marTop w:val="0"/>
              <w:marBottom w:val="0"/>
              <w:divBdr>
                <w:top w:val="none" w:sz="0" w:space="0" w:color="auto"/>
                <w:left w:val="none" w:sz="0" w:space="0" w:color="auto"/>
                <w:bottom w:val="none" w:sz="0" w:space="0" w:color="auto"/>
                <w:right w:val="none" w:sz="0" w:space="0" w:color="auto"/>
              </w:divBdr>
            </w:div>
            <w:div w:id="1175152345">
              <w:marLeft w:val="0"/>
              <w:marRight w:val="0"/>
              <w:marTop w:val="0"/>
              <w:marBottom w:val="0"/>
              <w:divBdr>
                <w:top w:val="none" w:sz="0" w:space="0" w:color="auto"/>
                <w:left w:val="none" w:sz="0" w:space="0" w:color="auto"/>
                <w:bottom w:val="none" w:sz="0" w:space="0" w:color="auto"/>
                <w:right w:val="none" w:sz="0" w:space="0" w:color="auto"/>
              </w:divBdr>
            </w:div>
            <w:div w:id="877818683">
              <w:marLeft w:val="0"/>
              <w:marRight w:val="0"/>
              <w:marTop w:val="0"/>
              <w:marBottom w:val="0"/>
              <w:divBdr>
                <w:top w:val="none" w:sz="0" w:space="0" w:color="auto"/>
                <w:left w:val="none" w:sz="0" w:space="0" w:color="auto"/>
                <w:bottom w:val="none" w:sz="0" w:space="0" w:color="auto"/>
                <w:right w:val="none" w:sz="0" w:space="0" w:color="auto"/>
              </w:divBdr>
            </w:div>
            <w:div w:id="974329755">
              <w:marLeft w:val="0"/>
              <w:marRight w:val="0"/>
              <w:marTop w:val="0"/>
              <w:marBottom w:val="0"/>
              <w:divBdr>
                <w:top w:val="none" w:sz="0" w:space="0" w:color="auto"/>
                <w:left w:val="none" w:sz="0" w:space="0" w:color="auto"/>
                <w:bottom w:val="none" w:sz="0" w:space="0" w:color="auto"/>
                <w:right w:val="none" w:sz="0" w:space="0" w:color="auto"/>
              </w:divBdr>
            </w:div>
            <w:div w:id="614211038">
              <w:marLeft w:val="0"/>
              <w:marRight w:val="0"/>
              <w:marTop w:val="0"/>
              <w:marBottom w:val="0"/>
              <w:divBdr>
                <w:top w:val="none" w:sz="0" w:space="0" w:color="auto"/>
                <w:left w:val="none" w:sz="0" w:space="0" w:color="auto"/>
                <w:bottom w:val="none" w:sz="0" w:space="0" w:color="auto"/>
                <w:right w:val="none" w:sz="0" w:space="0" w:color="auto"/>
              </w:divBdr>
            </w:div>
            <w:div w:id="1367415148">
              <w:marLeft w:val="0"/>
              <w:marRight w:val="0"/>
              <w:marTop w:val="0"/>
              <w:marBottom w:val="0"/>
              <w:divBdr>
                <w:top w:val="none" w:sz="0" w:space="0" w:color="auto"/>
                <w:left w:val="none" w:sz="0" w:space="0" w:color="auto"/>
                <w:bottom w:val="none" w:sz="0" w:space="0" w:color="auto"/>
                <w:right w:val="none" w:sz="0" w:space="0" w:color="auto"/>
              </w:divBdr>
            </w:div>
            <w:div w:id="1100370054">
              <w:marLeft w:val="0"/>
              <w:marRight w:val="0"/>
              <w:marTop w:val="0"/>
              <w:marBottom w:val="0"/>
              <w:divBdr>
                <w:top w:val="none" w:sz="0" w:space="0" w:color="auto"/>
                <w:left w:val="none" w:sz="0" w:space="0" w:color="auto"/>
                <w:bottom w:val="none" w:sz="0" w:space="0" w:color="auto"/>
                <w:right w:val="none" w:sz="0" w:space="0" w:color="auto"/>
              </w:divBdr>
            </w:div>
            <w:div w:id="1153789051">
              <w:marLeft w:val="0"/>
              <w:marRight w:val="0"/>
              <w:marTop w:val="0"/>
              <w:marBottom w:val="0"/>
              <w:divBdr>
                <w:top w:val="none" w:sz="0" w:space="0" w:color="auto"/>
                <w:left w:val="none" w:sz="0" w:space="0" w:color="auto"/>
                <w:bottom w:val="none" w:sz="0" w:space="0" w:color="auto"/>
                <w:right w:val="none" w:sz="0" w:space="0" w:color="auto"/>
              </w:divBdr>
            </w:div>
            <w:div w:id="1092892806">
              <w:marLeft w:val="0"/>
              <w:marRight w:val="0"/>
              <w:marTop w:val="0"/>
              <w:marBottom w:val="0"/>
              <w:divBdr>
                <w:top w:val="none" w:sz="0" w:space="0" w:color="auto"/>
                <w:left w:val="none" w:sz="0" w:space="0" w:color="auto"/>
                <w:bottom w:val="none" w:sz="0" w:space="0" w:color="auto"/>
                <w:right w:val="none" w:sz="0" w:space="0" w:color="auto"/>
              </w:divBdr>
            </w:div>
            <w:div w:id="2133278763">
              <w:marLeft w:val="0"/>
              <w:marRight w:val="0"/>
              <w:marTop w:val="0"/>
              <w:marBottom w:val="0"/>
              <w:divBdr>
                <w:top w:val="none" w:sz="0" w:space="0" w:color="auto"/>
                <w:left w:val="none" w:sz="0" w:space="0" w:color="auto"/>
                <w:bottom w:val="none" w:sz="0" w:space="0" w:color="auto"/>
                <w:right w:val="none" w:sz="0" w:space="0" w:color="auto"/>
              </w:divBdr>
            </w:div>
            <w:div w:id="1373963753">
              <w:marLeft w:val="0"/>
              <w:marRight w:val="0"/>
              <w:marTop w:val="0"/>
              <w:marBottom w:val="0"/>
              <w:divBdr>
                <w:top w:val="none" w:sz="0" w:space="0" w:color="auto"/>
                <w:left w:val="none" w:sz="0" w:space="0" w:color="auto"/>
                <w:bottom w:val="none" w:sz="0" w:space="0" w:color="auto"/>
                <w:right w:val="none" w:sz="0" w:space="0" w:color="auto"/>
              </w:divBdr>
            </w:div>
            <w:div w:id="1259825487">
              <w:marLeft w:val="0"/>
              <w:marRight w:val="0"/>
              <w:marTop w:val="0"/>
              <w:marBottom w:val="0"/>
              <w:divBdr>
                <w:top w:val="none" w:sz="0" w:space="0" w:color="auto"/>
                <w:left w:val="none" w:sz="0" w:space="0" w:color="auto"/>
                <w:bottom w:val="none" w:sz="0" w:space="0" w:color="auto"/>
                <w:right w:val="none" w:sz="0" w:space="0" w:color="auto"/>
              </w:divBdr>
            </w:div>
            <w:div w:id="860821494">
              <w:marLeft w:val="0"/>
              <w:marRight w:val="0"/>
              <w:marTop w:val="0"/>
              <w:marBottom w:val="0"/>
              <w:divBdr>
                <w:top w:val="none" w:sz="0" w:space="0" w:color="auto"/>
                <w:left w:val="none" w:sz="0" w:space="0" w:color="auto"/>
                <w:bottom w:val="none" w:sz="0" w:space="0" w:color="auto"/>
                <w:right w:val="none" w:sz="0" w:space="0" w:color="auto"/>
              </w:divBdr>
            </w:div>
            <w:div w:id="1210846353">
              <w:marLeft w:val="0"/>
              <w:marRight w:val="0"/>
              <w:marTop w:val="0"/>
              <w:marBottom w:val="0"/>
              <w:divBdr>
                <w:top w:val="none" w:sz="0" w:space="0" w:color="auto"/>
                <w:left w:val="none" w:sz="0" w:space="0" w:color="auto"/>
                <w:bottom w:val="none" w:sz="0" w:space="0" w:color="auto"/>
                <w:right w:val="none" w:sz="0" w:space="0" w:color="auto"/>
              </w:divBdr>
            </w:div>
            <w:div w:id="528565166">
              <w:marLeft w:val="0"/>
              <w:marRight w:val="0"/>
              <w:marTop w:val="0"/>
              <w:marBottom w:val="0"/>
              <w:divBdr>
                <w:top w:val="none" w:sz="0" w:space="0" w:color="auto"/>
                <w:left w:val="none" w:sz="0" w:space="0" w:color="auto"/>
                <w:bottom w:val="none" w:sz="0" w:space="0" w:color="auto"/>
                <w:right w:val="none" w:sz="0" w:space="0" w:color="auto"/>
              </w:divBdr>
            </w:div>
            <w:div w:id="330716724">
              <w:marLeft w:val="0"/>
              <w:marRight w:val="0"/>
              <w:marTop w:val="0"/>
              <w:marBottom w:val="0"/>
              <w:divBdr>
                <w:top w:val="none" w:sz="0" w:space="0" w:color="auto"/>
                <w:left w:val="none" w:sz="0" w:space="0" w:color="auto"/>
                <w:bottom w:val="none" w:sz="0" w:space="0" w:color="auto"/>
                <w:right w:val="none" w:sz="0" w:space="0" w:color="auto"/>
              </w:divBdr>
            </w:div>
            <w:div w:id="618881362">
              <w:marLeft w:val="0"/>
              <w:marRight w:val="0"/>
              <w:marTop w:val="0"/>
              <w:marBottom w:val="0"/>
              <w:divBdr>
                <w:top w:val="none" w:sz="0" w:space="0" w:color="auto"/>
                <w:left w:val="none" w:sz="0" w:space="0" w:color="auto"/>
                <w:bottom w:val="none" w:sz="0" w:space="0" w:color="auto"/>
                <w:right w:val="none" w:sz="0" w:space="0" w:color="auto"/>
              </w:divBdr>
            </w:div>
            <w:div w:id="639270759">
              <w:marLeft w:val="0"/>
              <w:marRight w:val="0"/>
              <w:marTop w:val="0"/>
              <w:marBottom w:val="0"/>
              <w:divBdr>
                <w:top w:val="none" w:sz="0" w:space="0" w:color="auto"/>
                <w:left w:val="none" w:sz="0" w:space="0" w:color="auto"/>
                <w:bottom w:val="none" w:sz="0" w:space="0" w:color="auto"/>
                <w:right w:val="none" w:sz="0" w:space="0" w:color="auto"/>
              </w:divBdr>
            </w:div>
            <w:div w:id="989096592">
              <w:marLeft w:val="0"/>
              <w:marRight w:val="0"/>
              <w:marTop w:val="0"/>
              <w:marBottom w:val="0"/>
              <w:divBdr>
                <w:top w:val="none" w:sz="0" w:space="0" w:color="auto"/>
                <w:left w:val="none" w:sz="0" w:space="0" w:color="auto"/>
                <w:bottom w:val="none" w:sz="0" w:space="0" w:color="auto"/>
                <w:right w:val="none" w:sz="0" w:space="0" w:color="auto"/>
              </w:divBdr>
            </w:div>
            <w:div w:id="962346915">
              <w:marLeft w:val="0"/>
              <w:marRight w:val="0"/>
              <w:marTop w:val="0"/>
              <w:marBottom w:val="0"/>
              <w:divBdr>
                <w:top w:val="none" w:sz="0" w:space="0" w:color="auto"/>
                <w:left w:val="none" w:sz="0" w:space="0" w:color="auto"/>
                <w:bottom w:val="none" w:sz="0" w:space="0" w:color="auto"/>
                <w:right w:val="none" w:sz="0" w:space="0" w:color="auto"/>
              </w:divBdr>
            </w:div>
            <w:div w:id="1579750671">
              <w:marLeft w:val="0"/>
              <w:marRight w:val="0"/>
              <w:marTop w:val="0"/>
              <w:marBottom w:val="0"/>
              <w:divBdr>
                <w:top w:val="none" w:sz="0" w:space="0" w:color="auto"/>
                <w:left w:val="none" w:sz="0" w:space="0" w:color="auto"/>
                <w:bottom w:val="none" w:sz="0" w:space="0" w:color="auto"/>
                <w:right w:val="none" w:sz="0" w:space="0" w:color="auto"/>
              </w:divBdr>
            </w:div>
            <w:div w:id="1964115241">
              <w:marLeft w:val="0"/>
              <w:marRight w:val="0"/>
              <w:marTop w:val="0"/>
              <w:marBottom w:val="0"/>
              <w:divBdr>
                <w:top w:val="none" w:sz="0" w:space="0" w:color="auto"/>
                <w:left w:val="none" w:sz="0" w:space="0" w:color="auto"/>
                <w:bottom w:val="none" w:sz="0" w:space="0" w:color="auto"/>
                <w:right w:val="none" w:sz="0" w:space="0" w:color="auto"/>
              </w:divBdr>
            </w:div>
            <w:div w:id="2123456566">
              <w:marLeft w:val="0"/>
              <w:marRight w:val="0"/>
              <w:marTop w:val="0"/>
              <w:marBottom w:val="0"/>
              <w:divBdr>
                <w:top w:val="none" w:sz="0" w:space="0" w:color="auto"/>
                <w:left w:val="none" w:sz="0" w:space="0" w:color="auto"/>
                <w:bottom w:val="none" w:sz="0" w:space="0" w:color="auto"/>
                <w:right w:val="none" w:sz="0" w:space="0" w:color="auto"/>
              </w:divBdr>
            </w:div>
            <w:div w:id="531766781">
              <w:marLeft w:val="0"/>
              <w:marRight w:val="0"/>
              <w:marTop w:val="0"/>
              <w:marBottom w:val="0"/>
              <w:divBdr>
                <w:top w:val="none" w:sz="0" w:space="0" w:color="auto"/>
                <w:left w:val="none" w:sz="0" w:space="0" w:color="auto"/>
                <w:bottom w:val="none" w:sz="0" w:space="0" w:color="auto"/>
                <w:right w:val="none" w:sz="0" w:space="0" w:color="auto"/>
              </w:divBdr>
            </w:div>
            <w:div w:id="267276053">
              <w:marLeft w:val="0"/>
              <w:marRight w:val="0"/>
              <w:marTop w:val="0"/>
              <w:marBottom w:val="0"/>
              <w:divBdr>
                <w:top w:val="none" w:sz="0" w:space="0" w:color="auto"/>
                <w:left w:val="none" w:sz="0" w:space="0" w:color="auto"/>
                <w:bottom w:val="none" w:sz="0" w:space="0" w:color="auto"/>
                <w:right w:val="none" w:sz="0" w:space="0" w:color="auto"/>
              </w:divBdr>
            </w:div>
            <w:div w:id="1905800083">
              <w:marLeft w:val="0"/>
              <w:marRight w:val="0"/>
              <w:marTop w:val="0"/>
              <w:marBottom w:val="0"/>
              <w:divBdr>
                <w:top w:val="none" w:sz="0" w:space="0" w:color="auto"/>
                <w:left w:val="none" w:sz="0" w:space="0" w:color="auto"/>
                <w:bottom w:val="none" w:sz="0" w:space="0" w:color="auto"/>
                <w:right w:val="none" w:sz="0" w:space="0" w:color="auto"/>
              </w:divBdr>
            </w:div>
            <w:div w:id="837814665">
              <w:marLeft w:val="0"/>
              <w:marRight w:val="0"/>
              <w:marTop w:val="0"/>
              <w:marBottom w:val="0"/>
              <w:divBdr>
                <w:top w:val="none" w:sz="0" w:space="0" w:color="auto"/>
                <w:left w:val="none" w:sz="0" w:space="0" w:color="auto"/>
                <w:bottom w:val="none" w:sz="0" w:space="0" w:color="auto"/>
                <w:right w:val="none" w:sz="0" w:space="0" w:color="auto"/>
              </w:divBdr>
            </w:div>
            <w:div w:id="1322269376">
              <w:marLeft w:val="0"/>
              <w:marRight w:val="0"/>
              <w:marTop w:val="0"/>
              <w:marBottom w:val="0"/>
              <w:divBdr>
                <w:top w:val="none" w:sz="0" w:space="0" w:color="auto"/>
                <w:left w:val="none" w:sz="0" w:space="0" w:color="auto"/>
                <w:bottom w:val="none" w:sz="0" w:space="0" w:color="auto"/>
                <w:right w:val="none" w:sz="0" w:space="0" w:color="auto"/>
              </w:divBdr>
            </w:div>
            <w:div w:id="2137679911">
              <w:marLeft w:val="0"/>
              <w:marRight w:val="0"/>
              <w:marTop w:val="0"/>
              <w:marBottom w:val="0"/>
              <w:divBdr>
                <w:top w:val="none" w:sz="0" w:space="0" w:color="auto"/>
                <w:left w:val="none" w:sz="0" w:space="0" w:color="auto"/>
                <w:bottom w:val="none" w:sz="0" w:space="0" w:color="auto"/>
                <w:right w:val="none" w:sz="0" w:space="0" w:color="auto"/>
              </w:divBdr>
            </w:div>
            <w:div w:id="1091895667">
              <w:marLeft w:val="0"/>
              <w:marRight w:val="0"/>
              <w:marTop w:val="0"/>
              <w:marBottom w:val="0"/>
              <w:divBdr>
                <w:top w:val="none" w:sz="0" w:space="0" w:color="auto"/>
                <w:left w:val="none" w:sz="0" w:space="0" w:color="auto"/>
                <w:bottom w:val="none" w:sz="0" w:space="0" w:color="auto"/>
                <w:right w:val="none" w:sz="0" w:space="0" w:color="auto"/>
              </w:divBdr>
            </w:div>
            <w:div w:id="730889028">
              <w:marLeft w:val="0"/>
              <w:marRight w:val="0"/>
              <w:marTop w:val="0"/>
              <w:marBottom w:val="0"/>
              <w:divBdr>
                <w:top w:val="none" w:sz="0" w:space="0" w:color="auto"/>
                <w:left w:val="none" w:sz="0" w:space="0" w:color="auto"/>
                <w:bottom w:val="none" w:sz="0" w:space="0" w:color="auto"/>
                <w:right w:val="none" w:sz="0" w:space="0" w:color="auto"/>
              </w:divBdr>
            </w:div>
            <w:div w:id="2090804802">
              <w:marLeft w:val="0"/>
              <w:marRight w:val="0"/>
              <w:marTop w:val="0"/>
              <w:marBottom w:val="0"/>
              <w:divBdr>
                <w:top w:val="none" w:sz="0" w:space="0" w:color="auto"/>
                <w:left w:val="none" w:sz="0" w:space="0" w:color="auto"/>
                <w:bottom w:val="none" w:sz="0" w:space="0" w:color="auto"/>
                <w:right w:val="none" w:sz="0" w:space="0" w:color="auto"/>
              </w:divBdr>
            </w:div>
            <w:div w:id="1257133329">
              <w:marLeft w:val="0"/>
              <w:marRight w:val="0"/>
              <w:marTop w:val="0"/>
              <w:marBottom w:val="0"/>
              <w:divBdr>
                <w:top w:val="none" w:sz="0" w:space="0" w:color="auto"/>
                <w:left w:val="none" w:sz="0" w:space="0" w:color="auto"/>
                <w:bottom w:val="none" w:sz="0" w:space="0" w:color="auto"/>
                <w:right w:val="none" w:sz="0" w:space="0" w:color="auto"/>
              </w:divBdr>
            </w:div>
            <w:div w:id="88352970">
              <w:marLeft w:val="0"/>
              <w:marRight w:val="0"/>
              <w:marTop w:val="0"/>
              <w:marBottom w:val="0"/>
              <w:divBdr>
                <w:top w:val="none" w:sz="0" w:space="0" w:color="auto"/>
                <w:left w:val="none" w:sz="0" w:space="0" w:color="auto"/>
                <w:bottom w:val="none" w:sz="0" w:space="0" w:color="auto"/>
                <w:right w:val="none" w:sz="0" w:space="0" w:color="auto"/>
              </w:divBdr>
            </w:div>
            <w:div w:id="1511292876">
              <w:marLeft w:val="0"/>
              <w:marRight w:val="0"/>
              <w:marTop w:val="0"/>
              <w:marBottom w:val="0"/>
              <w:divBdr>
                <w:top w:val="none" w:sz="0" w:space="0" w:color="auto"/>
                <w:left w:val="none" w:sz="0" w:space="0" w:color="auto"/>
                <w:bottom w:val="none" w:sz="0" w:space="0" w:color="auto"/>
                <w:right w:val="none" w:sz="0" w:space="0" w:color="auto"/>
              </w:divBdr>
            </w:div>
            <w:div w:id="1556887287">
              <w:marLeft w:val="0"/>
              <w:marRight w:val="0"/>
              <w:marTop w:val="0"/>
              <w:marBottom w:val="0"/>
              <w:divBdr>
                <w:top w:val="none" w:sz="0" w:space="0" w:color="auto"/>
                <w:left w:val="none" w:sz="0" w:space="0" w:color="auto"/>
                <w:bottom w:val="none" w:sz="0" w:space="0" w:color="auto"/>
                <w:right w:val="none" w:sz="0" w:space="0" w:color="auto"/>
              </w:divBdr>
            </w:div>
            <w:div w:id="1294748160">
              <w:marLeft w:val="0"/>
              <w:marRight w:val="0"/>
              <w:marTop w:val="0"/>
              <w:marBottom w:val="0"/>
              <w:divBdr>
                <w:top w:val="none" w:sz="0" w:space="0" w:color="auto"/>
                <w:left w:val="none" w:sz="0" w:space="0" w:color="auto"/>
                <w:bottom w:val="none" w:sz="0" w:space="0" w:color="auto"/>
                <w:right w:val="none" w:sz="0" w:space="0" w:color="auto"/>
              </w:divBdr>
            </w:div>
            <w:div w:id="2010019733">
              <w:marLeft w:val="0"/>
              <w:marRight w:val="0"/>
              <w:marTop w:val="0"/>
              <w:marBottom w:val="0"/>
              <w:divBdr>
                <w:top w:val="none" w:sz="0" w:space="0" w:color="auto"/>
                <w:left w:val="none" w:sz="0" w:space="0" w:color="auto"/>
                <w:bottom w:val="none" w:sz="0" w:space="0" w:color="auto"/>
                <w:right w:val="none" w:sz="0" w:space="0" w:color="auto"/>
              </w:divBdr>
            </w:div>
            <w:div w:id="867765435">
              <w:marLeft w:val="0"/>
              <w:marRight w:val="0"/>
              <w:marTop w:val="0"/>
              <w:marBottom w:val="0"/>
              <w:divBdr>
                <w:top w:val="none" w:sz="0" w:space="0" w:color="auto"/>
                <w:left w:val="none" w:sz="0" w:space="0" w:color="auto"/>
                <w:bottom w:val="none" w:sz="0" w:space="0" w:color="auto"/>
                <w:right w:val="none" w:sz="0" w:space="0" w:color="auto"/>
              </w:divBdr>
            </w:div>
            <w:div w:id="2116633222">
              <w:marLeft w:val="0"/>
              <w:marRight w:val="0"/>
              <w:marTop w:val="0"/>
              <w:marBottom w:val="0"/>
              <w:divBdr>
                <w:top w:val="none" w:sz="0" w:space="0" w:color="auto"/>
                <w:left w:val="none" w:sz="0" w:space="0" w:color="auto"/>
                <w:bottom w:val="none" w:sz="0" w:space="0" w:color="auto"/>
                <w:right w:val="none" w:sz="0" w:space="0" w:color="auto"/>
              </w:divBdr>
            </w:div>
            <w:div w:id="531383395">
              <w:marLeft w:val="0"/>
              <w:marRight w:val="0"/>
              <w:marTop w:val="0"/>
              <w:marBottom w:val="0"/>
              <w:divBdr>
                <w:top w:val="none" w:sz="0" w:space="0" w:color="auto"/>
                <w:left w:val="none" w:sz="0" w:space="0" w:color="auto"/>
                <w:bottom w:val="none" w:sz="0" w:space="0" w:color="auto"/>
                <w:right w:val="none" w:sz="0" w:space="0" w:color="auto"/>
              </w:divBdr>
            </w:div>
            <w:div w:id="375013673">
              <w:marLeft w:val="0"/>
              <w:marRight w:val="0"/>
              <w:marTop w:val="0"/>
              <w:marBottom w:val="0"/>
              <w:divBdr>
                <w:top w:val="none" w:sz="0" w:space="0" w:color="auto"/>
                <w:left w:val="none" w:sz="0" w:space="0" w:color="auto"/>
                <w:bottom w:val="none" w:sz="0" w:space="0" w:color="auto"/>
                <w:right w:val="none" w:sz="0" w:space="0" w:color="auto"/>
              </w:divBdr>
            </w:div>
            <w:div w:id="1428044134">
              <w:marLeft w:val="0"/>
              <w:marRight w:val="0"/>
              <w:marTop w:val="0"/>
              <w:marBottom w:val="0"/>
              <w:divBdr>
                <w:top w:val="none" w:sz="0" w:space="0" w:color="auto"/>
                <w:left w:val="none" w:sz="0" w:space="0" w:color="auto"/>
                <w:bottom w:val="none" w:sz="0" w:space="0" w:color="auto"/>
                <w:right w:val="none" w:sz="0" w:space="0" w:color="auto"/>
              </w:divBdr>
            </w:div>
            <w:div w:id="548496444">
              <w:marLeft w:val="0"/>
              <w:marRight w:val="0"/>
              <w:marTop w:val="0"/>
              <w:marBottom w:val="0"/>
              <w:divBdr>
                <w:top w:val="none" w:sz="0" w:space="0" w:color="auto"/>
                <w:left w:val="none" w:sz="0" w:space="0" w:color="auto"/>
                <w:bottom w:val="none" w:sz="0" w:space="0" w:color="auto"/>
                <w:right w:val="none" w:sz="0" w:space="0" w:color="auto"/>
              </w:divBdr>
            </w:div>
            <w:div w:id="2090272478">
              <w:marLeft w:val="0"/>
              <w:marRight w:val="0"/>
              <w:marTop w:val="0"/>
              <w:marBottom w:val="0"/>
              <w:divBdr>
                <w:top w:val="none" w:sz="0" w:space="0" w:color="auto"/>
                <w:left w:val="none" w:sz="0" w:space="0" w:color="auto"/>
                <w:bottom w:val="none" w:sz="0" w:space="0" w:color="auto"/>
                <w:right w:val="none" w:sz="0" w:space="0" w:color="auto"/>
              </w:divBdr>
            </w:div>
            <w:div w:id="242107527">
              <w:marLeft w:val="0"/>
              <w:marRight w:val="0"/>
              <w:marTop w:val="0"/>
              <w:marBottom w:val="0"/>
              <w:divBdr>
                <w:top w:val="none" w:sz="0" w:space="0" w:color="auto"/>
                <w:left w:val="none" w:sz="0" w:space="0" w:color="auto"/>
                <w:bottom w:val="none" w:sz="0" w:space="0" w:color="auto"/>
                <w:right w:val="none" w:sz="0" w:space="0" w:color="auto"/>
              </w:divBdr>
            </w:div>
            <w:div w:id="358359508">
              <w:marLeft w:val="0"/>
              <w:marRight w:val="0"/>
              <w:marTop w:val="0"/>
              <w:marBottom w:val="0"/>
              <w:divBdr>
                <w:top w:val="none" w:sz="0" w:space="0" w:color="auto"/>
                <w:left w:val="none" w:sz="0" w:space="0" w:color="auto"/>
                <w:bottom w:val="none" w:sz="0" w:space="0" w:color="auto"/>
                <w:right w:val="none" w:sz="0" w:space="0" w:color="auto"/>
              </w:divBdr>
            </w:div>
            <w:div w:id="1443375824">
              <w:marLeft w:val="0"/>
              <w:marRight w:val="0"/>
              <w:marTop w:val="0"/>
              <w:marBottom w:val="0"/>
              <w:divBdr>
                <w:top w:val="none" w:sz="0" w:space="0" w:color="auto"/>
                <w:left w:val="none" w:sz="0" w:space="0" w:color="auto"/>
                <w:bottom w:val="none" w:sz="0" w:space="0" w:color="auto"/>
                <w:right w:val="none" w:sz="0" w:space="0" w:color="auto"/>
              </w:divBdr>
            </w:div>
            <w:div w:id="2126070368">
              <w:marLeft w:val="0"/>
              <w:marRight w:val="0"/>
              <w:marTop w:val="0"/>
              <w:marBottom w:val="0"/>
              <w:divBdr>
                <w:top w:val="none" w:sz="0" w:space="0" w:color="auto"/>
                <w:left w:val="none" w:sz="0" w:space="0" w:color="auto"/>
                <w:bottom w:val="none" w:sz="0" w:space="0" w:color="auto"/>
                <w:right w:val="none" w:sz="0" w:space="0" w:color="auto"/>
              </w:divBdr>
            </w:div>
            <w:div w:id="1869176796">
              <w:marLeft w:val="0"/>
              <w:marRight w:val="0"/>
              <w:marTop w:val="0"/>
              <w:marBottom w:val="0"/>
              <w:divBdr>
                <w:top w:val="none" w:sz="0" w:space="0" w:color="auto"/>
                <w:left w:val="none" w:sz="0" w:space="0" w:color="auto"/>
                <w:bottom w:val="none" w:sz="0" w:space="0" w:color="auto"/>
                <w:right w:val="none" w:sz="0" w:space="0" w:color="auto"/>
              </w:divBdr>
            </w:div>
            <w:div w:id="605650094">
              <w:marLeft w:val="0"/>
              <w:marRight w:val="0"/>
              <w:marTop w:val="0"/>
              <w:marBottom w:val="0"/>
              <w:divBdr>
                <w:top w:val="none" w:sz="0" w:space="0" w:color="auto"/>
                <w:left w:val="none" w:sz="0" w:space="0" w:color="auto"/>
                <w:bottom w:val="none" w:sz="0" w:space="0" w:color="auto"/>
                <w:right w:val="none" w:sz="0" w:space="0" w:color="auto"/>
              </w:divBdr>
            </w:div>
            <w:div w:id="1466046548">
              <w:marLeft w:val="0"/>
              <w:marRight w:val="0"/>
              <w:marTop w:val="0"/>
              <w:marBottom w:val="0"/>
              <w:divBdr>
                <w:top w:val="none" w:sz="0" w:space="0" w:color="auto"/>
                <w:left w:val="none" w:sz="0" w:space="0" w:color="auto"/>
                <w:bottom w:val="none" w:sz="0" w:space="0" w:color="auto"/>
                <w:right w:val="none" w:sz="0" w:space="0" w:color="auto"/>
              </w:divBdr>
            </w:div>
            <w:div w:id="1634747118">
              <w:marLeft w:val="0"/>
              <w:marRight w:val="0"/>
              <w:marTop w:val="0"/>
              <w:marBottom w:val="0"/>
              <w:divBdr>
                <w:top w:val="none" w:sz="0" w:space="0" w:color="auto"/>
                <w:left w:val="none" w:sz="0" w:space="0" w:color="auto"/>
                <w:bottom w:val="none" w:sz="0" w:space="0" w:color="auto"/>
                <w:right w:val="none" w:sz="0" w:space="0" w:color="auto"/>
              </w:divBdr>
            </w:div>
            <w:div w:id="901915851">
              <w:marLeft w:val="0"/>
              <w:marRight w:val="0"/>
              <w:marTop w:val="0"/>
              <w:marBottom w:val="0"/>
              <w:divBdr>
                <w:top w:val="none" w:sz="0" w:space="0" w:color="auto"/>
                <w:left w:val="none" w:sz="0" w:space="0" w:color="auto"/>
                <w:bottom w:val="none" w:sz="0" w:space="0" w:color="auto"/>
                <w:right w:val="none" w:sz="0" w:space="0" w:color="auto"/>
              </w:divBdr>
            </w:div>
            <w:div w:id="196506600">
              <w:marLeft w:val="0"/>
              <w:marRight w:val="0"/>
              <w:marTop w:val="0"/>
              <w:marBottom w:val="0"/>
              <w:divBdr>
                <w:top w:val="none" w:sz="0" w:space="0" w:color="auto"/>
                <w:left w:val="none" w:sz="0" w:space="0" w:color="auto"/>
                <w:bottom w:val="none" w:sz="0" w:space="0" w:color="auto"/>
                <w:right w:val="none" w:sz="0" w:space="0" w:color="auto"/>
              </w:divBdr>
            </w:div>
            <w:div w:id="1218203275">
              <w:marLeft w:val="0"/>
              <w:marRight w:val="0"/>
              <w:marTop w:val="0"/>
              <w:marBottom w:val="0"/>
              <w:divBdr>
                <w:top w:val="none" w:sz="0" w:space="0" w:color="auto"/>
                <w:left w:val="none" w:sz="0" w:space="0" w:color="auto"/>
                <w:bottom w:val="none" w:sz="0" w:space="0" w:color="auto"/>
                <w:right w:val="none" w:sz="0" w:space="0" w:color="auto"/>
              </w:divBdr>
            </w:div>
            <w:div w:id="1297445766">
              <w:marLeft w:val="0"/>
              <w:marRight w:val="0"/>
              <w:marTop w:val="0"/>
              <w:marBottom w:val="0"/>
              <w:divBdr>
                <w:top w:val="none" w:sz="0" w:space="0" w:color="auto"/>
                <w:left w:val="none" w:sz="0" w:space="0" w:color="auto"/>
                <w:bottom w:val="none" w:sz="0" w:space="0" w:color="auto"/>
                <w:right w:val="none" w:sz="0" w:space="0" w:color="auto"/>
              </w:divBdr>
            </w:div>
            <w:div w:id="341783333">
              <w:marLeft w:val="0"/>
              <w:marRight w:val="0"/>
              <w:marTop w:val="0"/>
              <w:marBottom w:val="0"/>
              <w:divBdr>
                <w:top w:val="none" w:sz="0" w:space="0" w:color="auto"/>
                <w:left w:val="none" w:sz="0" w:space="0" w:color="auto"/>
                <w:bottom w:val="none" w:sz="0" w:space="0" w:color="auto"/>
                <w:right w:val="none" w:sz="0" w:space="0" w:color="auto"/>
              </w:divBdr>
            </w:div>
            <w:div w:id="811099945">
              <w:marLeft w:val="0"/>
              <w:marRight w:val="0"/>
              <w:marTop w:val="0"/>
              <w:marBottom w:val="0"/>
              <w:divBdr>
                <w:top w:val="none" w:sz="0" w:space="0" w:color="auto"/>
                <w:left w:val="none" w:sz="0" w:space="0" w:color="auto"/>
                <w:bottom w:val="none" w:sz="0" w:space="0" w:color="auto"/>
                <w:right w:val="none" w:sz="0" w:space="0" w:color="auto"/>
              </w:divBdr>
            </w:div>
            <w:div w:id="1219435126">
              <w:marLeft w:val="0"/>
              <w:marRight w:val="0"/>
              <w:marTop w:val="0"/>
              <w:marBottom w:val="0"/>
              <w:divBdr>
                <w:top w:val="none" w:sz="0" w:space="0" w:color="auto"/>
                <w:left w:val="none" w:sz="0" w:space="0" w:color="auto"/>
                <w:bottom w:val="none" w:sz="0" w:space="0" w:color="auto"/>
                <w:right w:val="none" w:sz="0" w:space="0" w:color="auto"/>
              </w:divBdr>
            </w:div>
            <w:div w:id="1097366627">
              <w:marLeft w:val="0"/>
              <w:marRight w:val="0"/>
              <w:marTop w:val="0"/>
              <w:marBottom w:val="0"/>
              <w:divBdr>
                <w:top w:val="none" w:sz="0" w:space="0" w:color="auto"/>
                <w:left w:val="none" w:sz="0" w:space="0" w:color="auto"/>
                <w:bottom w:val="none" w:sz="0" w:space="0" w:color="auto"/>
                <w:right w:val="none" w:sz="0" w:space="0" w:color="auto"/>
              </w:divBdr>
            </w:div>
            <w:div w:id="27073438">
              <w:marLeft w:val="0"/>
              <w:marRight w:val="0"/>
              <w:marTop w:val="0"/>
              <w:marBottom w:val="0"/>
              <w:divBdr>
                <w:top w:val="none" w:sz="0" w:space="0" w:color="auto"/>
                <w:left w:val="none" w:sz="0" w:space="0" w:color="auto"/>
                <w:bottom w:val="none" w:sz="0" w:space="0" w:color="auto"/>
                <w:right w:val="none" w:sz="0" w:space="0" w:color="auto"/>
              </w:divBdr>
            </w:div>
            <w:div w:id="527067690">
              <w:marLeft w:val="0"/>
              <w:marRight w:val="0"/>
              <w:marTop w:val="0"/>
              <w:marBottom w:val="0"/>
              <w:divBdr>
                <w:top w:val="none" w:sz="0" w:space="0" w:color="auto"/>
                <w:left w:val="none" w:sz="0" w:space="0" w:color="auto"/>
                <w:bottom w:val="none" w:sz="0" w:space="0" w:color="auto"/>
                <w:right w:val="none" w:sz="0" w:space="0" w:color="auto"/>
              </w:divBdr>
            </w:div>
            <w:div w:id="2140222538">
              <w:marLeft w:val="0"/>
              <w:marRight w:val="0"/>
              <w:marTop w:val="0"/>
              <w:marBottom w:val="0"/>
              <w:divBdr>
                <w:top w:val="none" w:sz="0" w:space="0" w:color="auto"/>
                <w:left w:val="none" w:sz="0" w:space="0" w:color="auto"/>
                <w:bottom w:val="none" w:sz="0" w:space="0" w:color="auto"/>
                <w:right w:val="none" w:sz="0" w:space="0" w:color="auto"/>
              </w:divBdr>
            </w:div>
            <w:div w:id="557397521">
              <w:marLeft w:val="0"/>
              <w:marRight w:val="0"/>
              <w:marTop w:val="0"/>
              <w:marBottom w:val="0"/>
              <w:divBdr>
                <w:top w:val="none" w:sz="0" w:space="0" w:color="auto"/>
                <w:left w:val="none" w:sz="0" w:space="0" w:color="auto"/>
                <w:bottom w:val="none" w:sz="0" w:space="0" w:color="auto"/>
                <w:right w:val="none" w:sz="0" w:space="0" w:color="auto"/>
              </w:divBdr>
            </w:div>
            <w:div w:id="1237128901">
              <w:marLeft w:val="0"/>
              <w:marRight w:val="0"/>
              <w:marTop w:val="0"/>
              <w:marBottom w:val="0"/>
              <w:divBdr>
                <w:top w:val="none" w:sz="0" w:space="0" w:color="auto"/>
                <w:left w:val="none" w:sz="0" w:space="0" w:color="auto"/>
                <w:bottom w:val="none" w:sz="0" w:space="0" w:color="auto"/>
                <w:right w:val="none" w:sz="0" w:space="0" w:color="auto"/>
              </w:divBdr>
            </w:div>
            <w:div w:id="330909530">
              <w:marLeft w:val="0"/>
              <w:marRight w:val="0"/>
              <w:marTop w:val="0"/>
              <w:marBottom w:val="0"/>
              <w:divBdr>
                <w:top w:val="none" w:sz="0" w:space="0" w:color="auto"/>
                <w:left w:val="none" w:sz="0" w:space="0" w:color="auto"/>
                <w:bottom w:val="none" w:sz="0" w:space="0" w:color="auto"/>
                <w:right w:val="none" w:sz="0" w:space="0" w:color="auto"/>
              </w:divBdr>
            </w:div>
            <w:div w:id="1572807017">
              <w:marLeft w:val="0"/>
              <w:marRight w:val="0"/>
              <w:marTop w:val="0"/>
              <w:marBottom w:val="0"/>
              <w:divBdr>
                <w:top w:val="none" w:sz="0" w:space="0" w:color="auto"/>
                <w:left w:val="none" w:sz="0" w:space="0" w:color="auto"/>
                <w:bottom w:val="none" w:sz="0" w:space="0" w:color="auto"/>
                <w:right w:val="none" w:sz="0" w:space="0" w:color="auto"/>
              </w:divBdr>
            </w:div>
            <w:div w:id="954598321">
              <w:marLeft w:val="0"/>
              <w:marRight w:val="0"/>
              <w:marTop w:val="0"/>
              <w:marBottom w:val="0"/>
              <w:divBdr>
                <w:top w:val="none" w:sz="0" w:space="0" w:color="auto"/>
                <w:left w:val="none" w:sz="0" w:space="0" w:color="auto"/>
                <w:bottom w:val="none" w:sz="0" w:space="0" w:color="auto"/>
                <w:right w:val="none" w:sz="0" w:space="0" w:color="auto"/>
              </w:divBdr>
            </w:div>
            <w:div w:id="456026607">
              <w:marLeft w:val="0"/>
              <w:marRight w:val="0"/>
              <w:marTop w:val="0"/>
              <w:marBottom w:val="0"/>
              <w:divBdr>
                <w:top w:val="none" w:sz="0" w:space="0" w:color="auto"/>
                <w:left w:val="none" w:sz="0" w:space="0" w:color="auto"/>
                <w:bottom w:val="none" w:sz="0" w:space="0" w:color="auto"/>
                <w:right w:val="none" w:sz="0" w:space="0" w:color="auto"/>
              </w:divBdr>
            </w:div>
            <w:div w:id="523402156">
              <w:marLeft w:val="0"/>
              <w:marRight w:val="0"/>
              <w:marTop w:val="0"/>
              <w:marBottom w:val="0"/>
              <w:divBdr>
                <w:top w:val="none" w:sz="0" w:space="0" w:color="auto"/>
                <w:left w:val="none" w:sz="0" w:space="0" w:color="auto"/>
                <w:bottom w:val="none" w:sz="0" w:space="0" w:color="auto"/>
                <w:right w:val="none" w:sz="0" w:space="0" w:color="auto"/>
              </w:divBdr>
            </w:div>
            <w:div w:id="72706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28</Pages>
  <Words>10913</Words>
  <Characters>62205</Characters>
  <Application>Microsoft Office Word</Application>
  <DocSecurity>0</DocSecurity>
  <Lines>518</Lines>
  <Paragraphs>145</Paragraphs>
  <ScaleCrop>false</ScaleCrop>
  <Company>Grizli777</Company>
  <LinksUpToDate>false</LinksUpToDate>
  <CharactersWithSpaces>72973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2014-02-14T19:59:00Z</dcterms:created>
  <dcterms:modified xsi:type="dcterms:W3CDTF">2014-02-17T06:47:00Z</dcterms:modified>
</cp:coreProperties>
</file>